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17.xml" ContentType="application/vnd.ms-office.chartcolorstyle+xml"/>
  <Override PartName="/word/charts/colors18.xml" ContentType="application/vnd.ms-office.chartcolorstyle+xml"/>
  <Override PartName="/word/charts/colors19.xml" ContentType="application/vnd.ms-office.chartcolorstyle+xml"/>
  <Override PartName="/word/charts/colors2.xml" ContentType="application/vnd.ms-office.chartcolorstyle+xml"/>
  <Override PartName="/word/charts/colors20.xml" ContentType="application/vnd.ms-office.chartcolorstyle+xml"/>
  <Override PartName="/word/charts/colors21.xml" ContentType="application/vnd.ms-office.chartcolorstyle+xml"/>
  <Override PartName="/word/charts/colors22.xml" ContentType="application/vnd.ms-office.chartcolorstyle+xml"/>
  <Override PartName="/word/charts/colors23.xml" ContentType="application/vnd.ms-office.chartcolorstyle+xml"/>
  <Override PartName="/word/charts/colors24.xml" ContentType="application/vnd.ms-office.chartcolorstyle+xml"/>
  <Override PartName="/word/charts/colors25.xml" ContentType="application/vnd.ms-office.chartcolorstyle+xml"/>
  <Override PartName="/word/charts/colors26.xml" ContentType="application/vnd.ms-office.chartcolorstyle+xml"/>
  <Override PartName="/word/charts/colors27.xml" ContentType="application/vnd.ms-office.chartcolorstyle+xml"/>
  <Override PartName="/word/charts/colors28.xml" ContentType="application/vnd.ms-office.chartcolorstyle+xml"/>
  <Override PartName="/word/charts/colors29.xml" ContentType="application/vnd.ms-office.chartcolorstyle+xml"/>
  <Override PartName="/word/charts/colors3.xml" ContentType="application/vnd.ms-office.chartcolorstyle+xml"/>
  <Override PartName="/word/charts/colors30.xml" ContentType="application/vnd.ms-office.chartcolorstyle+xml"/>
  <Override PartName="/word/charts/colors31.xml" ContentType="application/vnd.ms-office.chartcolorstyle+xml"/>
  <Override PartName="/word/charts/colors32.xml" ContentType="application/vnd.ms-office.chartcolorstyle+xml"/>
  <Override PartName="/word/charts/colors33.xml" ContentType="application/vnd.ms-office.chartcolorstyle+xml"/>
  <Override PartName="/word/charts/colors34.xml" ContentType="application/vnd.ms-office.chartcolorstyle+xml"/>
  <Override PartName="/word/charts/colors35.xml" ContentType="application/vnd.ms-office.chartcolorstyle+xml"/>
  <Override PartName="/word/charts/colors36.xml" ContentType="application/vnd.ms-office.chartcolorstyle+xml"/>
  <Override PartName="/word/charts/colors37.xml" ContentType="application/vnd.ms-office.chartcolorstyle+xml"/>
  <Override PartName="/word/charts/colors38.xml" ContentType="application/vnd.ms-office.chartcolorstyle+xml"/>
  <Override PartName="/word/charts/colors39.xml" ContentType="application/vnd.ms-office.chartcolorstyle+xml"/>
  <Override PartName="/word/charts/colors4.xml" ContentType="application/vnd.ms-office.chartcolorstyle+xml"/>
  <Override PartName="/word/charts/colors40.xml" ContentType="application/vnd.ms-office.chartcolorstyle+xml"/>
  <Override PartName="/word/charts/colors41.xml" ContentType="application/vnd.ms-office.chartcolorstyle+xml"/>
  <Override PartName="/word/charts/colors42.xml" ContentType="application/vnd.ms-office.chartcolorstyle+xml"/>
  <Override PartName="/word/charts/colors43.xml" ContentType="application/vnd.ms-office.chartcolorstyle+xml"/>
  <Override PartName="/word/charts/colors44.xml" ContentType="application/vnd.ms-office.chartcolorstyle+xml"/>
  <Override PartName="/word/charts/colors45.xml" ContentType="application/vnd.ms-office.chartcolorstyle+xml"/>
  <Override PartName="/word/charts/colors46.xml" ContentType="application/vnd.ms-office.chartcolorstyle+xml"/>
  <Override PartName="/word/charts/colors47.xml" ContentType="application/vnd.ms-office.chartcolorstyle+xml"/>
  <Override PartName="/word/charts/colors48.xml" ContentType="application/vnd.ms-office.chartcolorstyle+xml"/>
  <Override PartName="/word/charts/colors49.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17.xml" ContentType="application/vnd.ms-office.chartstyle+xml"/>
  <Override PartName="/word/charts/style18.xml" ContentType="application/vnd.ms-office.chartstyle+xml"/>
  <Override PartName="/word/charts/style19.xml" ContentType="application/vnd.ms-office.chartstyle+xml"/>
  <Override PartName="/word/charts/style2.xml" ContentType="application/vnd.ms-office.chartstyle+xml"/>
  <Override PartName="/word/charts/style20.xml" ContentType="application/vnd.ms-office.chartstyle+xml"/>
  <Override PartName="/word/charts/style21.xml" ContentType="application/vnd.ms-office.chartstyle+xml"/>
  <Override PartName="/word/charts/style22.xml" ContentType="application/vnd.ms-office.chartstyle+xml"/>
  <Override PartName="/word/charts/style23.xml" ContentType="application/vnd.ms-office.chartstyle+xml"/>
  <Override PartName="/word/charts/style24.xml" ContentType="application/vnd.ms-office.chartstyle+xml"/>
  <Override PartName="/word/charts/style25.xml" ContentType="application/vnd.ms-office.chartstyle+xml"/>
  <Override PartName="/word/charts/style26.xml" ContentType="application/vnd.ms-office.chartstyle+xml"/>
  <Override PartName="/word/charts/style27.xml" ContentType="application/vnd.ms-office.chartstyle+xml"/>
  <Override PartName="/word/charts/style28.xml" ContentType="application/vnd.ms-office.chartstyle+xml"/>
  <Override PartName="/word/charts/style29.xml" ContentType="application/vnd.ms-office.chartstyle+xml"/>
  <Override PartName="/word/charts/style3.xml" ContentType="application/vnd.ms-office.chartstyle+xml"/>
  <Override PartName="/word/charts/style30.xml" ContentType="application/vnd.ms-office.chartstyle+xml"/>
  <Override PartName="/word/charts/style31.xml" ContentType="application/vnd.ms-office.chartstyle+xml"/>
  <Override PartName="/word/charts/style32.xml" ContentType="application/vnd.ms-office.chartstyle+xml"/>
  <Override PartName="/word/charts/style33.xml" ContentType="application/vnd.ms-office.chartstyle+xml"/>
  <Override PartName="/word/charts/style34.xml" ContentType="application/vnd.ms-office.chartstyle+xml"/>
  <Override PartName="/word/charts/style35.xml" ContentType="application/vnd.ms-office.chartstyle+xml"/>
  <Override PartName="/word/charts/style36.xml" ContentType="application/vnd.ms-office.chartstyle+xml"/>
  <Override PartName="/word/charts/style37.xml" ContentType="application/vnd.ms-office.chartstyle+xml"/>
  <Override PartName="/word/charts/style38.xml" ContentType="application/vnd.ms-office.chartstyle+xml"/>
  <Override PartName="/word/charts/style39.xml" ContentType="application/vnd.ms-office.chartstyle+xml"/>
  <Override PartName="/word/charts/style4.xml" ContentType="application/vnd.ms-office.chartstyle+xml"/>
  <Override PartName="/word/charts/style40.xml" ContentType="application/vnd.ms-office.chartstyle+xml"/>
  <Override PartName="/word/charts/style41.xml" ContentType="application/vnd.ms-office.chartstyle+xml"/>
  <Override PartName="/word/charts/style42.xml" ContentType="application/vnd.ms-office.chartstyle+xml"/>
  <Override PartName="/word/charts/style43.xml" ContentType="application/vnd.ms-office.chartstyle+xml"/>
  <Override PartName="/word/charts/style44.xml" ContentType="application/vnd.ms-office.chartstyle+xml"/>
  <Override PartName="/word/charts/style45.xml" ContentType="application/vnd.ms-office.chartstyle+xml"/>
  <Override PartName="/word/charts/style46.xml" ContentType="application/vnd.ms-office.chartstyle+xml"/>
  <Override PartName="/word/charts/style47.xml" ContentType="application/vnd.ms-office.chartstyle+xml"/>
  <Override PartName="/word/charts/style48.xml" ContentType="application/vnd.ms-office.chartstyle+xml"/>
  <Override PartName="/word/charts/style49.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jc w:val="center"/>
        <w:rPr>
          <w:rFonts w:hint="eastAsia" w:ascii="方正小标宋简体" w:hAnsi="方正小标宋简体" w:eastAsia="方正小标宋简体" w:cs="方正小标宋简体"/>
          <w:sz w:val="44"/>
          <w:szCs w:val="44"/>
          <w:lang w:val="en-US" w:eastAsia="zh-CN"/>
        </w:rPr>
      </w:pPr>
    </w:p>
    <w:p>
      <w:pPr>
        <w:numPr>
          <w:ilvl w:val="0"/>
          <w:numId w:val="0"/>
        </w:numPr>
        <w:jc w:val="center"/>
        <w:rPr>
          <w:rFonts w:hint="eastAsia" w:ascii="方正小标宋简体" w:hAnsi="方正小标宋简体" w:eastAsia="方正小标宋简体" w:cs="方正小标宋简体"/>
          <w:sz w:val="44"/>
          <w:szCs w:val="44"/>
          <w:lang w:val="en-US" w:eastAsia="zh-CN"/>
        </w:rPr>
      </w:pPr>
    </w:p>
    <w:p>
      <w:pPr>
        <w:numPr>
          <w:ilvl w:val="0"/>
          <w:numId w:val="0"/>
        </w:numPr>
        <w:jc w:val="center"/>
        <w:rPr>
          <w:rFonts w:hint="eastAsia" w:ascii="方正小标宋简体" w:hAnsi="方正小标宋简体" w:eastAsia="方正小标宋简体" w:cs="方正小标宋简体"/>
          <w:sz w:val="52"/>
          <w:szCs w:val="52"/>
          <w:lang w:val="en-US" w:eastAsia="zh-CN"/>
        </w:rPr>
      </w:pPr>
      <w:bookmarkStart w:id="39" w:name="_GoBack"/>
      <w:bookmarkEnd w:id="39"/>
      <w:r>
        <w:rPr>
          <w:rFonts w:hint="eastAsia" w:ascii="方正小标宋简体" w:hAnsi="方正小标宋简体" w:eastAsia="方正小标宋简体" w:cs="方正小标宋简体"/>
          <w:sz w:val="52"/>
          <w:szCs w:val="52"/>
          <w:lang w:val="en-US" w:eastAsia="zh-CN"/>
        </w:rPr>
        <w:t>2022年中国城市建设状况公报</w:t>
      </w:r>
    </w:p>
    <w:p>
      <w:pPr>
        <w:numPr>
          <w:ilvl w:val="0"/>
          <w:numId w:val="0"/>
        </w:numPr>
        <w:jc w:val="center"/>
        <w:rPr>
          <w:rFonts w:hint="eastAsia" w:ascii="仿宋_GB2312" w:hAnsi="仿宋_GB2312" w:eastAsia="仿宋_GB2312" w:cs="仿宋_GB2312"/>
          <w:b w:val="0"/>
          <w:bCs w:val="0"/>
          <w:sz w:val="36"/>
          <w:szCs w:val="36"/>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住房城乡建设部</w:t>
      </w: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目录</w:t>
      </w:r>
    </w:p>
    <w:sdt>
      <w:sdtPr>
        <w:rPr>
          <w:rFonts w:ascii="宋体" w:hAnsi="宋体" w:eastAsia="宋体" w:cstheme="minorBidi"/>
          <w:kern w:val="2"/>
          <w:sz w:val="21"/>
          <w:szCs w:val="24"/>
          <w:lang w:val="en-US" w:eastAsia="zh-CN" w:bidi="ar-SA"/>
        </w:rPr>
        <w:id w:val="147451981"/>
        <w15:color w:val="DBDBDB"/>
        <w:docPartObj>
          <w:docPartGallery w:val="Table of Contents"/>
          <w:docPartUnique/>
        </w:docPartObj>
      </w:sdtPr>
      <w:sdtEndPr>
        <w:rPr>
          <w:rFonts w:hint="eastAsia" w:ascii="宋体" w:hAnsi="宋体" w:eastAsia="宋体" w:cs="宋体"/>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5"/>
            <w:tabs>
              <w:tab w:val="right" w:leader="dot" w:pos="8306"/>
            </w:tabs>
            <w:spacing w:line="360" w:lineRule="auto"/>
            <w:rPr>
              <w:rFonts w:hint="default" w:ascii="Times New Roman" w:hAnsi="Times New Roman" w:eastAsia="黑体" w:cs="Times New Roman"/>
              <w:sz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TOC \o "1-2" \h \u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黑体" w:cs="Times New Roman"/>
              <w:bCs w:val="0"/>
              <w:sz w:val="24"/>
              <w:szCs w:val="24"/>
              <w:lang w:val="en-US" w:eastAsia="zh-CN"/>
            </w:rPr>
            <w:fldChar w:fldCharType="begin"/>
          </w:r>
          <w:r>
            <w:rPr>
              <w:rFonts w:hint="default" w:ascii="Times New Roman" w:hAnsi="Times New Roman" w:eastAsia="黑体" w:cs="Times New Roman"/>
              <w:bCs w:val="0"/>
              <w:sz w:val="24"/>
              <w:szCs w:val="24"/>
              <w:lang w:val="en-US" w:eastAsia="zh-CN"/>
            </w:rPr>
            <w:instrText xml:space="preserve"> HYPERLINK \l _Toc14792 </w:instrText>
          </w:r>
          <w:r>
            <w:rPr>
              <w:rFonts w:hint="default" w:ascii="Times New Roman" w:hAnsi="Times New Roman" w:eastAsia="黑体" w:cs="Times New Roman"/>
              <w:bCs w:val="0"/>
              <w:sz w:val="24"/>
              <w:szCs w:val="24"/>
              <w:lang w:val="en-US" w:eastAsia="zh-CN"/>
            </w:rPr>
            <w:fldChar w:fldCharType="separate"/>
          </w:r>
          <w:r>
            <w:rPr>
              <w:rFonts w:hint="default" w:ascii="Times New Roman" w:hAnsi="Times New Roman" w:eastAsia="黑体" w:cs="Times New Roman"/>
              <w:sz w:val="24"/>
              <w:szCs w:val="24"/>
              <w:lang w:val="en-US" w:eastAsia="zh-CN"/>
            </w:rPr>
            <w:t>概述</w:t>
          </w:r>
          <w:r>
            <w:rPr>
              <w:rFonts w:hint="default" w:ascii="Times New Roman" w:hAnsi="Times New Roman" w:eastAsia="黑体" w:cs="Times New Roman"/>
              <w:sz w:val="24"/>
            </w:rPr>
            <w:tab/>
          </w:r>
          <w:r>
            <w:rPr>
              <w:rFonts w:hint="default" w:ascii="Times New Roman" w:hAnsi="Times New Roman" w:eastAsia="黑体" w:cs="Times New Roman"/>
              <w:sz w:val="24"/>
            </w:rPr>
            <w:fldChar w:fldCharType="begin"/>
          </w:r>
          <w:r>
            <w:rPr>
              <w:rFonts w:hint="default" w:ascii="Times New Roman" w:hAnsi="Times New Roman" w:eastAsia="黑体" w:cs="Times New Roman"/>
              <w:sz w:val="24"/>
            </w:rPr>
            <w:instrText xml:space="preserve"> PAGEREF _Toc14792 \h </w:instrText>
          </w:r>
          <w:r>
            <w:rPr>
              <w:rFonts w:hint="default" w:ascii="Times New Roman" w:hAnsi="Times New Roman" w:eastAsia="黑体" w:cs="Times New Roman"/>
              <w:sz w:val="24"/>
            </w:rPr>
            <w:fldChar w:fldCharType="separate"/>
          </w:r>
          <w:r>
            <w:rPr>
              <w:rFonts w:hint="default" w:ascii="Times New Roman" w:hAnsi="Times New Roman" w:eastAsia="黑体" w:cs="Times New Roman"/>
              <w:sz w:val="24"/>
            </w:rPr>
            <w:t>1</w:t>
          </w:r>
          <w:r>
            <w:rPr>
              <w:rFonts w:hint="default" w:ascii="Times New Roman" w:hAnsi="Times New Roman" w:eastAsia="黑体" w:cs="Times New Roman"/>
              <w:sz w:val="24"/>
            </w:rPr>
            <w:fldChar w:fldCharType="end"/>
          </w:r>
          <w:r>
            <w:rPr>
              <w:rFonts w:hint="default" w:ascii="Times New Roman" w:hAnsi="Times New Roman" w:eastAsia="黑体" w:cs="Times New Roman"/>
              <w:bCs w:val="0"/>
              <w:sz w:val="24"/>
              <w:szCs w:val="24"/>
              <w:lang w:val="en-US" w:eastAsia="zh-CN"/>
            </w:rPr>
            <w:fldChar w:fldCharType="end"/>
          </w:r>
        </w:p>
        <w:p>
          <w:pPr>
            <w:pStyle w:val="5"/>
            <w:tabs>
              <w:tab w:val="right" w:leader="dot" w:pos="8306"/>
            </w:tabs>
            <w:spacing w:line="360" w:lineRule="auto"/>
            <w:rPr>
              <w:rFonts w:hint="default" w:ascii="Times New Roman" w:hAnsi="Times New Roman" w:eastAsia="黑体" w:cs="Times New Roman"/>
              <w:sz w:val="24"/>
            </w:rPr>
          </w:pPr>
          <w:r>
            <w:rPr>
              <w:rFonts w:hint="default" w:ascii="Times New Roman" w:hAnsi="Times New Roman" w:eastAsia="黑体" w:cs="Times New Roman"/>
              <w:bCs w:val="0"/>
              <w:sz w:val="24"/>
              <w:szCs w:val="24"/>
              <w:lang w:val="en-US" w:eastAsia="zh-CN"/>
            </w:rPr>
            <w:fldChar w:fldCharType="begin"/>
          </w:r>
          <w:r>
            <w:rPr>
              <w:rFonts w:hint="default" w:ascii="Times New Roman" w:hAnsi="Times New Roman" w:eastAsia="黑体" w:cs="Times New Roman"/>
              <w:bCs w:val="0"/>
              <w:sz w:val="24"/>
              <w:szCs w:val="24"/>
              <w:lang w:val="en-US" w:eastAsia="zh-CN"/>
            </w:rPr>
            <w:instrText xml:space="preserve"> HYPERLINK \l _Toc28357 </w:instrText>
          </w:r>
          <w:r>
            <w:rPr>
              <w:rFonts w:hint="default" w:ascii="Times New Roman" w:hAnsi="Times New Roman" w:eastAsia="黑体" w:cs="Times New Roman"/>
              <w:bCs w:val="0"/>
              <w:sz w:val="24"/>
              <w:szCs w:val="24"/>
              <w:lang w:val="en-US" w:eastAsia="zh-CN"/>
            </w:rPr>
            <w:fldChar w:fldCharType="separate"/>
          </w:r>
          <w:r>
            <w:rPr>
              <w:rFonts w:hint="default" w:ascii="Times New Roman" w:hAnsi="Times New Roman" w:eastAsia="黑体" w:cs="Times New Roman"/>
              <w:sz w:val="24"/>
              <w:szCs w:val="24"/>
              <w:highlight w:val="none"/>
              <w:lang w:val="en-US" w:eastAsia="zh-CN"/>
            </w:rPr>
            <w:t>一、城市基本情况</w:t>
          </w:r>
          <w:r>
            <w:rPr>
              <w:rFonts w:hint="default" w:ascii="Times New Roman" w:hAnsi="Times New Roman" w:eastAsia="黑体" w:cs="Times New Roman"/>
              <w:sz w:val="24"/>
            </w:rPr>
            <w:tab/>
          </w:r>
          <w:r>
            <w:rPr>
              <w:rFonts w:hint="default" w:ascii="Times New Roman" w:hAnsi="Times New Roman" w:eastAsia="黑体" w:cs="Times New Roman"/>
              <w:sz w:val="24"/>
            </w:rPr>
            <w:fldChar w:fldCharType="begin"/>
          </w:r>
          <w:r>
            <w:rPr>
              <w:rFonts w:hint="default" w:ascii="Times New Roman" w:hAnsi="Times New Roman" w:eastAsia="黑体" w:cs="Times New Roman"/>
              <w:sz w:val="24"/>
            </w:rPr>
            <w:instrText xml:space="preserve"> PAGEREF _Toc28357 \h </w:instrText>
          </w:r>
          <w:r>
            <w:rPr>
              <w:rFonts w:hint="default" w:ascii="Times New Roman" w:hAnsi="Times New Roman" w:eastAsia="黑体" w:cs="Times New Roman"/>
              <w:sz w:val="24"/>
            </w:rPr>
            <w:fldChar w:fldCharType="separate"/>
          </w:r>
          <w:r>
            <w:rPr>
              <w:rFonts w:hint="default" w:ascii="Times New Roman" w:hAnsi="Times New Roman" w:eastAsia="黑体" w:cs="Times New Roman"/>
              <w:sz w:val="24"/>
            </w:rPr>
            <w:t>3</w:t>
          </w:r>
          <w:r>
            <w:rPr>
              <w:rFonts w:hint="default" w:ascii="Times New Roman" w:hAnsi="Times New Roman" w:eastAsia="黑体" w:cs="Times New Roman"/>
              <w:sz w:val="24"/>
            </w:rPr>
            <w:fldChar w:fldCharType="end"/>
          </w:r>
          <w:r>
            <w:rPr>
              <w:rFonts w:hint="default" w:ascii="Times New Roman" w:hAnsi="Times New Roman" w:eastAsia="黑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楷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_Toc14788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（一）城市建成区面积</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_Toc14788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3</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黑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_Toc6032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（二）城市城区人口</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_Toc6032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4</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5"/>
            <w:tabs>
              <w:tab w:val="right" w:leader="dot" w:pos="8306"/>
            </w:tabs>
            <w:spacing w:line="360" w:lineRule="auto"/>
            <w:rPr>
              <w:rFonts w:hint="default" w:ascii="Times New Roman" w:hAnsi="Times New Roman" w:eastAsia="黑体" w:cs="Times New Roman"/>
              <w:sz w:val="24"/>
            </w:rPr>
          </w:pPr>
          <w:r>
            <w:rPr>
              <w:rFonts w:hint="default" w:ascii="Times New Roman" w:hAnsi="Times New Roman" w:eastAsia="黑体" w:cs="Times New Roman"/>
              <w:bCs w:val="0"/>
              <w:sz w:val="24"/>
              <w:szCs w:val="24"/>
              <w:lang w:val="en-US" w:eastAsia="zh-CN"/>
            </w:rPr>
            <w:fldChar w:fldCharType="begin"/>
          </w:r>
          <w:r>
            <w:rPr>
              <w:rFonts w:hint="default" w:ascii="Times New Roman" w:hAnsi="Times New Roman" w:eastAsia="黑体" w:cs="Times New Roman"/>
              <w:bCs w:val="0"/>
              <w:sz w:val="24"/>
              <w:szCs w:val="24"/>
              <w:lang w:val="en-US" w:eastAsia="zh-CN"/>
            </w:rPr>
            <w:instrText xml:space="preserve"> HYPERLINK \l _Toc3008 </w:instrText>
          </w:r>
          <w:r>
            <w:rPr>
              <w:rFonts w:hint="default" w:ascii="Times New Roman" w:hAnsi="Times New Roman" w:eastAsia="黑体" w:cs="Times New Roman"/>
              <w:bCs w:val="0"/>
              <w:sz w:val="24"/>
              <w:szCs w:val="24"/>
              <w:lang w:val="en-US" w:eastAsia="zh-CN"/>
            </w:rPr>
            <w:fldChar w:fldCharType="separate"/>
          </w:r>
          <w:r>
            <w:rPr>
              <w:rFonts w:hint="default" w:ascii="Times New Roman" w:hAnsi="Times New Roman" w:eastAsia="黑体" w:cs="Times New Roman"/>
              <w:sz w:val="24"/>
              <w:szCs w:val="24"/>
              <w:lang w:val="en-US" w:eastAsia="zh-CN"/>
            </w:rPr>
            <w:t>二、市政设施固定资产投资</w:t>
          </w:r>
          <w:r>
            <w:rPr>
              <w:rFonts w:hint="default" w:ascii="Times New Roman" w:hAnsi="Times New Roman" w:eastAsia="黑体" w:cs="Times New Roman"/>
              <w:sz w:val="24"/>
            </w:rPr>
            <w:tab/>
          </w:r>
          <w:r>
            <w:rPr>
              <w:rFonts w:hint="default" w:ascii="Times New Roman" w:hAnsi="Times New Roman" w:eastAsia="黑体" w:cs="Times New Roman"/>
              <w:sz w:val="24"/>
            </w:rPr>
            <w:fldChar w:fldCharType="begin"/>
          </w:r>
          <w:r>
            <w:rPr>
              <w:rFonts w:hint="default" w:ascii="Times New Roman" w:hAnsi="Times New Roman" w:eastAsia="黑体" w:cs="Times New Roman"/>
              <w:sz w:val="24"/>
            </w:rPr>
            <w:instrText xml:space="preserve"> PAGEREF _Toc3008 \h </w:instrText>
          </w:r>
          <w:r>
            <w:rPr>
              <w:rFonts w:hint="default" w:ascii="Times New Roman" w:hAnsi="Times New Roman" w:eastAsia="黑体" w:cs="Times New Roman"/>
              <w:sz w:val="24"/>
            </w:rPr>
            <w:fldChar w:fldCharType="separate"/>
          </w:r>
          <w:r>
            <w:rPr>
              <w:rFonts w:hint="default" w:ascii="Times New Roman" w:hAnsi="Times New Roman" w:eastAsia="黑体" w:cs="Times New Roman"/>
              <w:sz w:val="24"/>
            </w:rPr>
            <w:t>5</w:t>
          </w:r>
          <w:r>
            <w:rPr>
              <w:rFonts w:hint="default" w:ascii="Times New Roman" w:hAnsi="Times New Roman" w:eastAsia="黑体" w:cs="Times New Roman"/>
              <w:sz w:val="24"/>
            </w:rPr>
            <w:fldChar w:fldCharType="end"/>
          </w:r>
          <w:r>
            <w:rPr>
              <w:rFonts w:hint="default" w:ascii="Times New Roman" w:hAnsi="Times New Roman" w:eastAsia="黑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楷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_Toc26793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（一）固定资产投资额</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_Toc26793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5</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黑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_Toc16118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（二）资金来源</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_Toc16118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6</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5"/>
            <w:tabs>
              <w:tab w:val="right" w:leader="dot" w:pos="8306"/>
            </w:tabs>
            <w:spacing w:line="360" w:lineRule="auto"/>
            <w:rPr>
              <w:rFonts w:hint="default" w:ascii="Times New Roman" w:hAnsi="Times New Roman" w:eastAsia="黑体" w:cs="Times New Roman"/>
              <w:sz w:val="24"/>
            </w:rPr>
          </w:pPr>
          <w:r>
            <w:rPr>
              <w:rFonts w:hint="default" w:ascii="Times New Roman" w:hAnsi="Times New Roman" w:eastAsia="黑体" w:cs="Times New Roman"/>
              <w:bCs w:val="0"/>
              <w:sz w:val="24"/>
              <w:szCs w:val="24"/>
              <w:lang w:val="en-US" w:eastAsia="zh-CN"/>
            </w:rPr>
            <w:fldChar w:fldCharType="begin"/>
          </w:r>
          <w:r>
            <w:rPr>
              <w:rFonts w:hint="default" w:ascii="Times New Roman" w:hAnsi="Times New Roman" w:eastAsia="黑体" w:cs="Times New Roman"/>
              <w:bCs w:val="0"/>
              <w:sz w:val="24"/>
              <w:szCs w:val="24"/>
              <w:lang w:val="en-US" w:eastAsia="zh-CN"/>
            </w:rPr>
            <w:instrText xml:space="preserve"> HYPERLINK \l _Toc26788 </w:instrText>
          </w:r>
          <w:r>
            <w:rPr>
              <w:rFonts w:hint="default" w:ascii="Times New Roman" w:hAnsi="Times New Roman" w:eastAsia="黑体" w:cs="Times New Roman"/>
              <w:bCs w:val="0"/>
              <w:sz w:val="24"/>
              <w:szCs w:val="24"/>
              <w:lang w:val="en-US" w:eastAsia="zh-CN"/>
            </w:rPr>
            <w:fldChar w:fldCharType="separate"/>
          </w:r>
          <w:r>
            <w:rPr>
              <w:rFonts w:hint="default" w:ascii="Times New Roman" w:hAnsi="Times New Roman" w:eastAsia="黑体" w:cs="Times New Roman"/>
              <w:sz w:val="24"/>
              <w:szCs w:val="24"/>
              <w:lang w:val="en-US" w:eastAsia="zh-CN"/>
            </w:rPr>
            <w:t>三、城市居民生活方面</w:t>
          </w:r>
          <w:r>
            <w:rPr>
              <w:rFonts w:hint="default" w:ascii="Times New Roman" w:hAnsi="Times New Roman" w:eastAsia="黑体" w:cs="Times New Roman"/>
              <w:sz w:val="24"/>
            </w:rPr>
            <w:tab/>
          </w:r>
          <w:r>
            <w:rPr>
              <w:rFonts w:hint="default" w:ascii="Times New Roman" w:hAnsi="Times New Roman" w:eastAsia="黑体" w:cs="Times New Roman"/>
              <w:sz w:val="24"/>
            </w:rPr>
            <w:fldChar w:fldCharType="begin"/>
          </w:r>
          <w:r>
            <w:rPr>
              <w:rFonts w:hint="default" w:ascii="Times New Roman" w:hAnsi="Times New Roman" w:eastAsia="黑体" w:cs="Times New Roman"/>
              <w:sz w:val="24"/>
            </w:rPr>
            <w:instrText xml:space="preserve"> PAGEREF _Toc26788 \h </w:instrText>
          </w:r>
          <w:r>
            <w:rPr>
              <w:rFonts w:hint="default" w:ascii="Times New Roman" w:hAnsi="Times New Roman" w:eastAsia="黑体" w:cs="Times New Roman"/>
              <w:sz w:val="24"/>
            </w:rPr>
            <w:fldChar w:fldCharType="separate"/>
          </w:r>
          <w:r>
            <w:rPr>
              <w:rFonts w:hint="default" w:ascii="Times New Roman" w:hAnsi="Times New Roman" w:eastAsia="黑体" w:cs="Times New Roman"/>
              <w:sz w:val="24"/>
            </w:rPr>
            <w:t>8</w:t>
          </w:r>
          <w:r>
            <w:rPr>
              <w:rFonts w:hint="default" w:ascii="Times New Roman" w:hAnsi="Times New Roman" w:eastAsia="黑体" w:cs="Times New Roman"/>
              <w:sz w:val="24"/>
            </w:rPr>
            <w:fldChar w:fldCharType="end"/>
          </w:r>
          <w:r>
            <w:rPr>
              <w:rFonts w:hint="default" w:ascii="Times New Roman" w:hAnsi="Times New Roman" w:eastAsia="黑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楷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_Toc19148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（一）城市供水</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_Toc19148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8</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楷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_Toc6124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（二）城市燃气</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_Toc6124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10</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黑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_Toc25138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（三）城市集中供热</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_Toc25138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14</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5"/>
            <w:tabs>
              <w:tab w:val="right" w:leader="dot" w:pos="8306"/>
            </w:tabs>
            <w:spacing w:line="360" w:lineRule="auto"/>
            <w:rPr>
              <w:rFonts w:hint="default" w:ascii="Times New Roman" w:hAnsi="Times New Roman" w:eastAsia="黑体" w:cs="Times New Roman"/>
              <w:sz w:val="24"/>
            </w:rPr>
          </w:pPr>
          <w:r>
            <w:rPr>
              <w:rFonts w:hint="default" w:ascii="Times New Roman" w:hAnsi="Times New Roman" w:eastAsia="黑体" w:cs="Times New Roman"/>
              <w:bCs w:val="0"/>
              <w:sz w:val="24"/>
              <w:szCs w:val="24"/>
              <w:lang w:val="en-US" w:eastAsia="zh-CN"/>
            </w:rPr>
            <w:fldChar w:fldCharType="begin"/>
          </w:r>
          <w:r>
            <w:rPr>
              <w:rFonts w:hint="default" w:ascii="Times New Roman" w:hAnsi="Times New Roman" w:eastAsia="黑体" w:cs="Times New Roman"/>
              <w:bCs w:val="0"/>
              <w:sz w:val="24"/>
              <w:szCs w:val="24"/>
              <w:lang w:val="en-US" w:eastAsia="zh-CN"/>
            </w:rPr>
            <w:instrText xml:space="preserve"> HYPERLINK \l _Toc2333 </w:instrText>
          </w:r>
          <w:r>
            <w:rPr>
              <w:rFonts w:hint="default" w:ascii="Times New Roman" w:hAnsi="Times New Roman" w:eastAsia="黑体" w:cs="Times New Roman"/>
              <w:bCs w:val="0"/>
              <w:sz w:val="24"/>
              <w:szCs w:val="24"/>
              <w:lang w:val="en-US" w:eastAsia="zh-CN"/>
            </w:rPr>
            <w:fldChar w:fldCharType="separate"/>
          </w:r>
          <w:r>
            <w:rPr>
              <w:rFonts w:hint="default" w:ascii="Times New Roman" w:hAnsi="Times New Roman" w:eastAsia="黑体" w:cs="Times New Roman"/>
              <w:sz w:val="24"/>
              <w:szCs w:val="24"/>
              <w:lang w:val="en-US" w:eastAsia="zh-CN"/>
            </w:rPr>
            <w:t>四、城市居民出行方面</w:t>
          </w:r>
          <w:r>
            <w:rPr>
              <w:rFonts w:hint="default" w:ascii="Times New Roman" w:hAnsi="Times New Roman" w:eastAsia="黑体" w:cs="Times New Roman"/>
              <w:sz w:val="24"/>
            </w:rPr>
            <w:tab/>
          </w:r>
          <w:r>
            <w:rPr>
              <w:rFonts w:hint="default" w:ascii="Times New Roman" w:hAnsi="Times New Roman" w:eastAsia="黑体" w:cs="Times New Roman"/>
              <w:sz w:val="24"/>
            </w:rPr>
            <w:fldChar w:fldCharType="begin"/>
          </w:r>
          <w:r>
            <w:rPr>
              <w:rFonts w:hint="default" w:ascii="Times New Roman" w:hAnsi="Times New Roman" w:eastAsia="黑体" w:cs="Times New Roman"/>
              <w:sz w:val="24"/>
            </w:rPr>
            <w:instrText xml:space="preserve"> PAGEREF _Toc2333 \h </w:instrText>
          </w:r>
          <w:r>
            <w:rPr>
              <w:rFonts w:hint="default" w:ascii="Times New Roman" w:hAnsi="Times New Roman" w:eastAsia="黑体" w:cs="Times New Roman"/>
              <w:sz w:val="24"/>
            </w:rPr>
            <w:fldChar w:fldCharType="separate"/>
          </w:r>
          <w:r>
            <w:rPr>
              <w:rFonts w:hint="default" w:ascii="Times New Roman" w:hAnsi="Times New Roman" w:eastAsia="黑体" w:cs="Times New Roman"/>
              <w:sz w:val="24"/>
            </w:rPr>
            <w:t>16</w:t>
          </w:r>
          <w:r>
            <w:rPr>
              <w:rFonts w:hint="default" w:ascii="Times New Roman" w:hAnsi="Times New Roman" w:eastAsia="黑体" w:cs="Times New Roman"/>
              <w:sz w:val="24"/>
            </w:rPr>
            <w:fldChar w:fldCharType="end"/>
          </w:r>
          <w:r>
            <w:rPr>
              <w:rFonts w:hint="default" w:ascii="Times New Roman" w:hAnsi="Times New Roman" w:eastAsia="黑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楷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_Toc29466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（一）城市轨道交通</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_Toc29466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16</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黑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_Toc2328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（二）城市道路</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_Toc2328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17</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5"/>
            <w:tabs>
              <w:tab w:val="right" w:leader="dot" w:pos="8306"/>
            </w:tabs>
            <w:spacing w:line="360" w:lineRule="auto"/>
            <w:rPr>
              <w:rFonts w:hint="default" w:ascii="Times New Roman" w:hAnsi="Times New Roman" w:eastAsia="黑体" w:cs="Times New Roman"/>
              <w:sz w:val="24"/>
            </w:rPr>
          </w:pPr>
          <w:r>
            <w:rPr>
              <w:rFonts w:hint="default" w:ascii="Times New Roman" w:hAnsi="Times New Roman" w:eastAsia="黑体" w:cs="Times New Roman"/>
              <w:bCs w:val="0"/>
              <w:sz w:val="24"/>
              <w:szCs w:val="24"/>
              <w:lang w:val="en-US" w:eastAsia="zh-CN"/>
            </w:rPr>
            <w:fldChar w:fldCharType="begin"/>
          </w:r>
          <w:r>
            <w:rPr>
              <w:rFonts w:hint="default" w:ascii="Times New Roman" w:hAnsi="Times New Roman" w:eastAsia="黑体" w:cs="Times New Roman"/>
              <w:bCs w:val="0"/>
              <w:sz w:val="24"/>
              <w:szCs w:val="24"/>
              <w:lang w:val="en-US" w:eastAsia="zh-CN"/>
            </w:rPr>
            <w:instrText xml:space="preserve"> HYPERLINK \l _Toc15022 </w:instrText>
          </w:r>
          <w:r>
            <w:rPr>
              <w:rFonts w:hint="default" w:ascii="Times New Roman" w:hAnsi="Times New Roman" w:eastAsia="黑体" w:cs="Times New Roman"/>
              <w:bCs w:val="0"/>
              <w:sz w:val="24"/>
              <w:szCs w:val="24"/>
              <w:lang w:val="en-US" w:eastAsia="zh-CN"/>
            </w:rPr>
            <w:fldChar w:fldCharType="separate"/>
          </w:r>
          <w:r>
            <w:rPr>
              <w:rFonts w:hint="default" w:ascii="Times New Roman" w:hAnsi="Times New Roman" w:eastAsia="黑体" w:cs="Times New Roman"/>
              <w:sz w:val="24"/>
              <w:szCs w:val="24"/>
              <w:lang w:val="en-US" w:eastAsia="zh-CN"/>
            </w:rPr>
            <w:t>五、城市环境卫生方面</w:t>
          </w:r>
          <w:r>
            <w:rPr>
              <w:rFonts w:hint="default" w:ascii="Times New Roman" w:hAnsi="Times New Roman" w:eastAsia="黑体" w:cs="Times New Roman"/>
              <w:sz w:val="24"/>
            </w:rPr>
            <w:tab/>
          </w:r>
          <w:r>
            <w:rPr>
              <w:rFonts w:hint="default" w:ascii="Times New Roman" w:hAnsi="Times New Roman" w:eastAsia="黑体" w:cs="Times New Roman"/>
              <w:sz w:val="24"/>
            </w:rPr>
            <w:fldChar w:fldCharType="begin"/>
          </w:r>
          <w:r>
            <w:rPr>
              <w:rFonts w:hint="default" w:ascii="Times New Roman" w:hAnsi="Times New Roman" w:eastAsia="黑体" w:cs="Times New Roman"/>
              <w:sz w:val="24"/>
            </w:rPr>
            <w:instrText xml:space="preserve"> PAGEREF _Toc15022 \h </w:instrText>
          </w:r>
          <w:r>
            <w:rPr>
              <w:rFonts w:hint="default" w:ascii="Times New Roman" w:hAnsi="Times New Roman" w:eastAsia="黑体" w:cs="Times New Roman"/>
              <w:sz w:val="24"/>
            </w:rPr>
            <w:fldChar w:fldCharType="separate"/>
          </w:r>
          <w:r>
            <w:rPr>
              <w:rFonts w:hint="default" w:ascii="Times New Roman" w:hAnsi="Times New Roman" w:eastAsia="黑体" w:cs="Times New Roman"/>
              <w:sz w:val="24"/>
            </w:rPr>
            <w:t>19</w:t>
          </w:r>
          <w:r>
            <w:rPr>
              <w:rFonts w:hint="default" w:ascii="Times New Roman" w:hAnsi="Times New Roman" w:eastAsia="黑体" w:cs="Times New Roman"/>
              <w:sz w:val="24"/>
            </w:rPr>
            <w:fldChar w:fldCharType="end"/>
          </w:r>
          <w:r>
            <w:rPr>
              <w:rFonts w:hint="default" w:ascii="Times New Roman" w:hAnsi="Times New Roman" w:eastAsia="黑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楷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_Toc15596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（一）城市污水处理</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_Toc15596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19</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黑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_Toc23592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（二）城市生活垃圾处理</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_Toc23592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21</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5"/>
            <w:tabs>
              <w:tab w:val="right" w:leader="dot" w:pos="8306"/>
            </w:tabs>
            <w:spacing w:line="360" w:lineRule="auto"/>
            <w:rPr>
              <w:rFonts w:hint="default" w:ascii="Times New Roman" w:hAnsi="Times New Roman" w:eastAsia="黑体" w:cs="Times New Roman"/>
              <w:sz w:val="24"/>
            </w:rPr>
          </w:pPr>
          <w:r>
            <w:rPr>
              <w:rFonts w:hint="default" w:ascii="Times New Roman" w:hAnsi="Times New Roman" w:eastAsia="黑体" w:cs="Times New Roman"/>
              <w:bCs w:val="0"/>
              <w:sz w:val="24"/>
              <w:szCs w:val="24"/>
              <w:lang w:val="en-US" w:eastAsia="zh-CN"/>
            </w:rPr>
            <w:fldChar w:fldCharType="begin"/>
          </w:r>
          <w:r>
            <w:rPr>
              <w:rFonts w:hint="default" w:ascii="Times New Roman" w:hAnsi="Times New Roman" w:eastAsia="黑体" w:cs="Times New Roman"/>
              <w:bCs w:val="0"/>
              <w:sz w:val="24"/>
              <w:szCs w:val="24"/>
              <w:lang w:val="en-US" w:eastAsia="zh-CN"/>
            </w:rPr>
            <w:instrText xml:space="preserve"> HYPERLINK \l _Toc3010 </w:instrText>
          </w:r>
          <w:r>
            <w:rPr>
              <w:rFonts w:hint="default" w:ascii="Times New Roman" w:hAnsi="Times New Roman" w:eastAsia="黑体" w:cs="Times New Roman"/>
              <w:bCs w:val="0"/>
              <w:sz w:val="24"/>
              <w:szCs w:val="24"/>
              <w:lang w:val="en-US" w:eastAsia="zh-CN"/>
            </w:rPr>
            <w:fldChar w:fldCharType="separate"/>
          </w:r>
          <w:r>
            <w:rPr>
              <w:rFonts w:hint="default" w:ascii="Times New Roman" w:hAnsi="Times New Roman" w:eastAsia="黑体" w:cs="Times New Roman"/>
              <w:sz w:val="24"/>
              <w:szCs w:val="24"/>
              <w:lang w:val="en-US" w:eastAsia="zh-CN"/>
            </w:rPr>
            <w:t>六、城市绿色生态方面</w:t>
          </w:r>
          <w:r>
            <w:rPr>
              <w:rFonts w:hint="default" w:ascii="Times New Roman" w:hAnsi="Times New Roman" w:eastAsia="黑体" w:cs="Times New Roman"/>
              <w:sz w:val="24"/>
            </w:rPr>
            <w:tab/>
          </w:r>
          <w:r>
            <w:rPr>
              <w:rFonts w:hint="default" w:ascii="Times New Roman" w:hAnsi="Times New Roman" w:eastAsia="黑体" w:cs="Times New Roman"/>
              <w:sz w:val="24"/>
            </w:rPr>
            <w:fldChar w:fldCharType="begin"/>
          </w:r>
          <w:r>
            <w:rPr>
              <w:rFonts w:hint="default" w:ascii="Times New Roman" w:hAnsi="Times New Roman" w:eastAsia="黑体" w:cs="Times New Roman"/>
              <w:sz w:val="24"/>
            </w:rPr>
            <w:instrText xml:space="preserve"> PAGEREF _Toc3010 \h </w:instrText>
          </w:r>
          <w:r>
            <w:rPr>
              <w:rFonts w:hint="default" w:ascii="Times New Roman" w:hAnsi="Times New Roman" w:eastAsia="黑体" w:cs="Times New Roman"/>
              <w:sz w:val="24"/>
            </w:rPr>
            <w:fldChar w:fldCharType="separate"/>
          </w:r>
          <w:r>
            <w:rPr>
              <w:rFonts w:hint="default" w:ascii="Times New Roman" w:hAnsi="Times New Roman" w:eastAsia="黑体" w:cs="Times New Roman"/>
              <w:sz w:val="24"/>
            </w:rPr>
            <w:t>22</w:t>
          </w:r>
          <w:r>
            <w:rPr>
              <w:rFonts w:hint="default" w:ascii="Times New Roman" w:hAnsi="Times New Roman" w:eastAsia="黑体" w:cs="Times New Roman"/>
              <w:sz w:val="24"/>
            </w:rPr>
            <w:fldChar w:fldCharType="end"/>
          </w:r>
          <w:r>
            <w:rPr>
              <w:rFonts w:hint="default" w:ascii="Times New Roman" w:hAnsi="Times New Roman" w:eastAsia="黑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楷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_Toc6009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（一）城市建成区绿地面积</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_Toc6009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22</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6"/>
            <w:tabs>
              <w:tab w:val="right" w:leader="dot" w:pos="8306"/>
            </w:tabs>
            <w:spacing w:line="360" w:lineRule="auto"/>
            <w:rPr>
              <w:rFonts w:hint="default" w:ascii="Times New Roman" w:hAnsi="Times New Roman" w:eastAsia="楷体" w:cs="Times New Roman"/>
              <w:sz w:val="24"/>
            </w:rPr>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_Toc7535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（二）城市建成区绿地率</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_Toc7535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23</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pStyle w:val="6"/>
            <w:tabs>
              <w:tab w:val="right" w:leader="dot" w:pos="8306"/>
            </w:tabs>
            <w:spacing w:line="360" w:lineRule="auto"/>
          </w:pPr>
          <w:r>
            <w:rPr>
              <w:rFonts w:hint="default" w:ascii="Times New Roman" w:hAnsi="Times New Roman" w:eastAsia="楷体" w:cs="Times New Roman"/>
              <w:bCs w:val="0"/>
              <w:sz w:val="24"/>
              <w:szCs w:val="24"/>
              <w:lang w:val="en-US" w:eastAsia="zh-CN"/>
            </w:rPr>
            <w:fldChar w:fldCharType="begin"/>
          </w:r>
          <w:r>
            <w:rPr>
              <w:rFonts w:hint="default" w:ascii="Times New Roman" w:hAnsi="Times New Roman" w:eastAsia="楷体" w:cs="Times New Roman"/>
              <w:bCs w:val="0"/>
              <w:sz w:val="24"/>
              <w:szCs w:val="24"/>
              <w:lang w:val="en-US" w:eastAsia="zh-CN"/>
            </w:rPr>
            <w:instrText xml:space="preserve"> HYPERLINK \l _Toc26153 </w:instrText>
          </w:r>
          <w:r>
            <w:rPr>
              <w:rFonts w:hint="default" w:ascii="Times New Roman" w:hAnsi="Times New Roman" w:eastAsia="楷体" w:cs="Times New Roman"/>
              <w:bCs w:val="0"/>
              <w:sz w:val="24"/>
              <w:szCs w:val="24"/>
              <w:lang w:val="en-US" w:eastAsia="zh-CN"/>
            </w:rPr>
            <w:fldChar w:fldCharType="separate"/>
          </w:r>
          <w:r>
            <w:rPr>
              <w:rFonts w:hint="default" w:ascii="Times New Roman" w:hAnsi="Times New Roman" w:eastAsia="楷体" w:cs="Times New Roman"/>
              <w:sz w:val="24"/>
              <w:szCs w:val="24"/>
              <w:lang w:val="en-US" w:eastAsia="zh-CN"/>
            </w:rPr>
            <w:t>（三）城市人均公园绿地面积</w:t>
          </w:r>
          <w:r>
            <w:rPr>
              <w:rFonts w:hint="default" w:ascii="Times New Roman" w:hAnsi="Times New Roman" w:eastAsia="楷体" w:cs="Times New Roman"/>
              <w:sz w:val="24"/>
            </w:rPr>
            <w:tab/>
          </w:r>
          <w:r>
            <w:rPr>
              <w:rFonts w:hint="default" w:ascii="Times New Roman" w:hAnsi="Times New Roman" w:eastAsia="楷体" w:cs="Times New Roman"/>
              <w:sz w:val="24"/>
            </w:rPr>
            <w:fldChar w:fldCharType="begin"/>
          </w:r>
          <w:r>
            <w:rPr>
              <w:rFonts w:hint="default" w:ascii="Times New Roman" w:hAnsi="Times New Roman" w:eastAsia="楷体" w:cs="Times New Roman"/>
              <w:sz w:val="24"/>
            </w:rPr>
            <w:instrText xml:space="preserve"> PAGEREF _Toc26153 \h </w:instrText>
          </w:r>
          <w:r>
            <w:rPr>
              <w:rFonts w:hint="default" w:ascii="Times New Roman" w:hAnsi="Times New Roman" w:eastAsia="楷体" w:cs="Times New Roman"/>
              <w:sz w:val="24"/>
            </w:rPr>
            <w:fldChar w:fldCharType="separate"/>
          </w:r>
          <w:r>
            <w:rPr>
              <w:rFonts w:hint="default" w:ascii="Times New Roman" w:hAnsi="Times New Roman" w:eastAsia="楷体" w:cs="Times New Roman"/>
              <w:sz w:val="24"/>
            </w:rPr>
            <w:t>24</w:t>
          </w:r>
          <w:r>
            <w:rPr>
              <w:rFonts w:hint="default" w:ascii="Times New Roman" w:hAnsi="Times New Roman" w:eastAsia="楷体" w:cs="Times New Roman"/>
              <w:sz w:val="24"/>
            </w:rPr>
            <w:fldChar w:fldCharType="end"/>
          </w:r>
          <w:r>
            <w:rPr>
              <w:rFonts w:hint="default" w:ascii="Times New Roman" w:hAnsi="Times New Roman" w:eastAsia="楷体" w:cs="Times New Roman"/>
              <w:bCs w:val="0"/>
              <w:sz w:val="24"/>
              <w:szCs w:val="24"/>
              <w:lang w:val="en-US" w:eastAsia="zh-CN"/>
            </w:rPr>
            <w:fldChar w:fldCharType="end"/>
          </w:r>
        </w:p>
        <w:p>
          <w:pPr>
            <w:numPr>
              <w:ilvl w:val="0"/>
              <w:numId w:val="0"/>
            </w:numPr>
            <w:rPr>
              <w:rFonts w:hint="eastAsia" w:ascii="宋体" w:hAnsi="宋体" w:eastAsia="宋体" w:cs="宋体"/>
              <w:sz w:val="24"/>
              <w:szCs w:val="24"/>
              <w:lang w:val="en-US" w:eastAsia="zh-CN"/>
            </w:rPr>
          </w:pPr>
          <w:r>
            <w:rPr>
              <w:rFonts w:hint="default" w:ascii="Times New Roman" w:hAnsi="Times New Roman" w:eastAsia="楷体" w:cs="Times New Roman"/>
              <w:b w:val="0"/>
              <w:bCs w:val="0"/>
              <w:sz w:val="24"/>
              <w:szCs w:val="24"/>
              <w:lang w:val="en-US" w:eastAsia="zh-CN"/>
            </w:rPr>
            <w:fldChar w:fldCharType="end"/>
          </w:r>
        </w:p>
      </w:sdtContent>
    </w:sdt>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default" w:ascii="黑体" w:hAnsi="黑体" w:eastAsia="黑体" w:cs="黑体"/>
          <w:sz w:val="32"/>
          <w:szCs w:val="32"/>
          <w:lang w:val="en-US" w:eastAsia="zh-CN"/>
        </w:rPr>
      </w:pPr>
      <w:bookmarkStart w:id="0" w:name="_Toc14792"/>
      <w:bookmarkStart w:id="1" w:name="_Toc12428"/>
      <w:r>
        <w:rPr>
          <w:rFonts w:hint="eastAsia" w:ascii="黑体" w:hAnsi="黑体" w:eastAsia="黑体" w:cs="黑体"/>
          <w:sz w:val="32"/>
          <w:szCs w:val="32"/>
          <w:lang w:val="en-US" w:eastAsia="zh-CN"/>
        </w:rPr>
        <w:t>概述</w:t>
      </w:r>
      <w:bookmarkEnd w:id="0"/>
      <w:bookmarkEnd w:id="1"/>
    </w:p>
    <w:p>
      <w:pPr>
        <w:pStyle w:val="2"/>
        <w:spacing w:line="360" w:lineRule="auto"/>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城市（县城）和村镇建设统计调查制度》有关规定，住房城乡建设部组织开展了2022年全国城市和县城建设统计调查，统计调查的标准时点为2022年12月31日，时期为2022年。本公报统计调查对象为设市城市的规划、建设、管理和经营城市市政公用设施的各级住房城乡建设管理部门、法人单位、产业活动单位。本次统计调查由住房城乡建设部统一组织，分级实施，由各级城乡建设统计主管部门负责本辖区内数据的审核、汇总和上报。</w:t>
      </w:r>
    </w:p>
    <w:p>
      <w:pPr>
        <w:numPr>
          <w:ilvl w:val="0"/>
          <w:numId w:val="0"/>
        </w:numPr>
        <w:ind w:firstLine="640" w:firstLineChars="200"/>
        <w:rPr>
          <w:rFonts w:hint="default" w:ascii="黑体" w:hAnsi="黑体" w:eastAsia="黑体" w:cs="黑体"/>
          <w:sz w:val="32"/>
          <w:szCs w:val="32"/>
          <w:lang w:val="en-US" w:eastAsia="zh-CN"/>
        </w:rPr>
      </w:pPr>
      <w:r>
        <w:rPr>
          <w:rFonts w:hint="eastAsia" w:ascii="楷体" w:hAnsi="楷体" w:eastAsia="楷体" w:cs="楷体"/>
          <w:sz w:val="32"/>
          <w:szCs w:val="32"/>
          <w:lang w:val="en-US" w:eastAsia="zh-CN"/>
        </w:rPr>
        <w:t>城市基本情况方面，</w:t>
      </w:r>
      <w:r>
        <w:rPr>
          <w:rFonts w:hint="eastAsia" w:ascii="仿宋_GB2312" w:hAnsi="仿宋_GB2312" w:eastAsia="仿宋_GB2312" w:cs="仿宋_GB2312"/>
          <w:sz w:val="32"/>
          <w:szCs w:val="40"/>
          <w:u w:val="none"/>
          <w:lang w:val="en-US" w:eastAsia="zh-CN"/>
        </w:rPr>
        <w:t>2022年年末，全国城市建成区面积6.37万平方公里，同比增长2.01%；全国城市城区人口5.65亿人，同比增长1.00%。</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市政设施固定资产投资方面，</w:t>
      </w:r>
      <w:r>
        <w:rPr>
          <w:rFonts w:hint="eastAsia" w:ascii="仿宋_GB2312" w:hAnsi="仿宋_GB2312" w:eastAsia="仿宋_GB2312" w:cs="仿宋_GB2312"/>
          <w:sz w:val="32"/>
          <w:szCs w:val="40"/>
          <w:u w:val="none"/>
          <w:lang w:val="en-US" w:eastAsia="zh-CN"/>
        </w:rPr>
        <w:t>2022年，全国</w:t>
      </w:r>
      <w:r>
        <w:rPr>
          <w:rFonts w:hint="eastAsia" w:ascii="仿宋_GB2312" w:hAnsi="仿宋_GB2312" w:eastAsia="仿宋_GB2312" w:cs="仿宋_GB2312"/>
          <w:color w:val="000000" w:themeColor="text1"/>
          <w:sz w:val="32"/>
          <w:szCs w:val="40"/>
          <w14:textFill>
            <w14:solidFill>
              <w14:schemeClr w14:val="tx1"/>
            </w14:solidFill>
          </w14:textFill>
        </w:rPr>
        <w:t>市政设施固定资产投资2.</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66</w:t>
      </w:r>
      <w:r>
        <w:rPr>
          <w:rFonts w:hint="eastAsia" w:ascii="仿宋_GB2312" w:hAnsi="仿宋_GB2312" w:eastAsia="仿宋_GB2312" w:cs="仿宋_GB2312"/>
          <w:color w:val="000000" w:themeColor="text1"/>
          <w:sz w:val="32"/>
          <w:szCs w:val="40"/>
          <w14:textFill>
            <w14:solidFill>
              <w14:schemeClr w14:val="tx1"/>
            </w14:solidFill>
          </w14:textFill>
        </w:rPr>
        <w:t>万亿元，同比</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下降3.13</w:t>
      </w:r>
      <w:r>
        <w:rPr>
          <w:rFonts w:hint="eastAsia" w:ascii="仿宋_GB2312" w:hAnsi="仿宋_GB2312" w:eastAsia="仿宋_GB2312" w:cs="仿宋_GB2312"/>
          <w:color w:val="000000" w:themeColor="text1"/>
          <w:sz w:val="32"/>
          <w:szCs w:val="40"/>
          <w14:textFill>
            <w14:solidFill>
              <w14:schemeClr w14:val="tx1"/>
            </w14:solidFill>
          </w14:textFill>
        </w:rPr>
        <w:t>%</w:t>
      </w:r>
      <w:r>
        <w:rPr>
          <w:rFonts w:hint="eastAsia" w:ascii="仿宋_GB2312" w:hAnsi="仿宋_GB2312" w:eastAsia="仿宋_GB2312" w:cs="仿宋_GB2312"/>
          <w:color w:val="000000" w:themeColor="text1"/>
          <w:sz w:val="32"/>
          <w:szCs w:val="40"/>
          <w:lang w:eastAsia="zh-CN"/>
          <w14:textFill>
            <w14:solidFill>
              <w14:schemeClr w14:val="tx1"/>
            </w14:solidFill>
          </w14:textFill>
        </w:rPr>
        <w:t>；</w:t>
      </w:r>
      <w:r>
        <w:rPr>
          <w:rFonts w:hint="eastAsia" w:ascii="仿宋_GB2312" w:hAnsi="仿宋_GB2312" w:eastAsia="仿宋_GB2312" w:cs="仿宋_GB2312"/>
          <w:sz w:val="32"/>
          <w:szCs w:val="40"/>
          <w:u w:val="none"/>
          <w:lang w:val="en-US" w:eastAsia="zh-CN"/>
        </w:rPr>
        <w:t>全国市政设施实际到位资金合计2.67万亿元，同比下降12.91%。</w:t>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楷体" w:hAnsi="楷体" w:eastAsia="楷体" w:cs="楷体"/>
          <w:sz w:val="32"/>
          <w:szCs w:val="32"/>
          <w:lang w:val="en-US" w:eastAsia="zh-CN"/>
        </w:rPr>
        <w:t>城市居民生活方面，</w:t>
      </w:r>
      <w:r>
        <w:rPr>
          <w:rFonts w:hint="eastAsia" w:ascii="仿宋_GB2312" w:hAnsi="仿宋_GB2312" w:eastAsia="仿宋_GB2312" w:cs="仿宋_GB2312"/>
          <w:sz w:val="32"/>
          <w:szCs w:val="40"/>
          <w:u w:val="none"/>
          <w:lang w:val="en-US" w:eastAsia="zh-CN"/>
        </w:rPr>
        <w:t>2022年，全国城市人均日生活用水量184.73升，比上年减少0.30升；供水普及率99.39%，比上年增加0.01个百分点。燃气普及率98.06%，比上年增加0.02个百分点；管道燃气普及率81.54%，比上年增加1.70个百分点。集中供热面积111.25亿平方米，同比增长4.92%。</w:t>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楷体" w:hAnsi="楷体" w:eastAsia="楷体" w:cs="楷体"/>
          <w:sz w:val="32"/>
          <w:szCs w:val="32"/>
          <w:lang w:val="en-US" w:eastAsia="zh-CN"/>
        </w:rPr>
        <w:t>城市居民出行方面，</w:t>
      </w:r>
      <w:r>
        <w:rPr>
          <w:rFonts w:hint="eastAsia" w:ascii="仿宋_GB2312" w:hAnsi="仿宋_GB2312" w:eastAsia="仿宋_GB2312" w:cs="仿宋_GB2312"/>
          <w:sz w:val="32"/>
          <w:szCs w:val="40"/>
          <w:u w:val="none"/>
          <w:lang w:val="en-US" w:eastAsia="zh-CN"/>
        </w:rPr>
        <w:t>2022年年末，全国城市已建成轨道交通9575.01公里，同比增长11.71%；在建轨道交通4802.89公里，同比下降7.14%；道路面积108.93亿平方米，同比增长3.39%；道路长度55.22万公里，同比增长3.70%；人均道路面积19.28平方米，比上年增加0.44平方米。</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城市环境卫生方面，</w:t>
      </w:r>
      <w:r>
        <w:rPr>
          <w:rFonts w:hint="eastAsia" w:ascii="仿宋_GB2312" w:hAnsi="仿宋_GB2312" w:eastAsia="仿宋_GB2312" w:cs="仿宋_GB2312"/>
          <w:sz w:val="32"/>
          <w:szCs w:val="40"/>
          <w:u w:val="none"/>
          <w:lang w:val="en-US" w:eastAsia="zh-CN"/>
        </w:rPr>
        <w:t>2022年年末，全国城市排水管道总长度91.35万公里，同比增长4.73%；污水处理厂处理能力2.16亿立方米/日，同比增长4.04%；生活污水集中收集率70.06%，比上年增加1.47个百分点；生活垃圾无害化处理率99.90%，比上年增加0.02个百分点；生活垃圾无害化处理能力110.94万吨/日，同比增长4.95%，其中，焚烧处理能力占比为72.53%。</w:t>
      </w:r>
    </w:p>
    <w:p>
      <w:pPr>
        <w:ind w:firstLine="640" w:firstLineChars="200"/>
        <w:rPr>
          <w:rFonts w:hint="eastAsia" w:ascii="仿宋_GB2312" w:hAnsi="仿宋_GB2312" w:eastAsia="仿宋_GB2312" w:cs="仿宋_GB2312"/>
          <w:sz w:val="32"/>
          <w:szCs w:val="40"/>
          <w:u w:val="none"/>
          <w:lang w:val="en-US" w:eastAsia="zh-CN"/>
        </w:rPr>
      </w:pPr>
      <w:r>
        <w:rPr>
          <w:rFonts w:hint="eastAsia" w:ascii="楷体" w:hAnsi="楷体" w:eastAsia="楷体" w:cs="楷体"/>
          <w:sz w:val="32"/>
          <w:szCs w:val="32"/>
          <w:lang w:val="en-US" w:eastAsia="zh-CN"/>
        </w:rPr>
        <w:t>城市绿色生态方面，</w:t>
      </w:r>
      <w:r>
        <w:rPr>
          <w:rFonts w:hint="eastAsia" w:ascii="仿宋_GB2312" w:hAnsi="仿宋_GB2312" w:eastAsia="仿宋_GB2312" w:cs="仿宋_GB2312"/>
          <w:sz w:val="32"/>
          <w:szCs w:val="40"/>
          <w:u w:val="none"/>
          <w:lang w:val="en-US" w:eastAsia="zh-CN"/>
        </w:rPr>
        <w:t>2022年年末，全国城市建成区绿地面积257.97万公顷，同比增长3.50%；建成区绿地率39.29%，比上年增加0.59个百分点；人均公园绿地面积15.29平方米，比上年增加0.42平方米。</w:t>
      </w:r>
    </w:p>
    <w:p>
      <w:pPr>
        <w:ind w:firstLine="640" w:firstLineChars="200"/>
        <w:rPr>
          <w:rFonts w:hint="eastAsia" w:ascii="仿宋_GB2312" w:hAnsi="仿宋_GB2312" w:eastAsia="仿宋_GB2312" w:cs="仿宋_GB2312"/>
          <w:sz w:val="32"/>
          <w:szCs w:val="40"/>
          <w:u w:val="none"/>
          <w:lang w:val="en-US" w:eastAsia="zh-CN"/>
        </w:rPr>
      </w:pPr>
    </w:p>
    <w:p>
      <w:pPr>
        <w:numPr>
          <w:ilvl w:val="0"/>
          <w:numId w:val="0"/>
        </w:numPr>
        <w:ind w:firstLine="640" w:firstLineChars="200"/>
        <w:rPr>
          <w:rFonts w:hint="eastAsia" w:ascii="仿宋_GB2312" w:hAnsi="仿宋_GB2312" w:eastAsia="仿宋_GB2312" w:cs="仿宋_GB2312"/>
          <w:sz w:val="32"/>
          <w:szCs w:val="40"/>
          <w:u w:val="none"/>
          <w:lang w:val="en-US" w:eastAsia="zh-CN"/>
        </w:rPr>
      </w:pPr>
    </w:p>
    <w:p>
      <w:pPr>
        <w:numPr>
          <w:ilvl w:val="0"/>
          <w:numId w:val="0"/>
        </w:numPr>
        <w:ind w:firstLine="640" w:firstLineChars="200"/>
        <w:rPr>
          <w:rFonts w:hint="default" w:ascii="仿宋_GB2312" w:hAnsi="仿宋_GB2312" w:eastAsia="仿宋_GB2312" w:cs="仿宋_GB2312"/>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0"/>
        <w:rPr>
          <w:rFonts w:hint="default" w:ascii="黑体" w:hAnsi="黑体" w:eastAsia="黑体" w:cs="黑体"/>
          <w:sz w:val="32"/>
          <w:szCs w:val="32"/>
          <w:highlight w:val="none"/>
          <w:lang w:val="en-US" w:eastAsia="zh-CN"/>
        </w:rPr>
      </w:pPr>
      <w:bookmarkStart w:id="2" w:name="_Toc28357"/>
      <w:bookmarkStart w:id="3" w:name="_Toc5455"/>
      <w:r>
        <w:rPr>
          <w:rFonts w:hint="eastAsia" w:ascii="黑体" w:hAnsi="黑体" w:eastAsia="黑体" w:cs="黑体"/>
          <w:color w:val="auto"/>
          <w:sz w:val="32"/>
          <w:szCs w:val="32"/>
          <w:highlight w:val="none"/>
          <w:lang w:val="en-US" w:eastAsia="zh-CN"/>
        </w:rPr>
        <w:t>一、城市基本情况</w:t>
      </w:r>
      <w:bookmarkEnd w:id="2"/>
      <w:bookmarkEnd w:id="3"/>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40"/>
          <w:lang w:val="en-US" w:eastAsia="zh-CN"/>
        </w:rPr>
      </w:pPr>
      <w:bookmarkStart w:id="4" w:name="_Toc14788"/>
      <w:bookmarkStart w:id="5" w:name="_Toc12813"/>
      <w:r>
        <w:rPr>
          <w:rFonts w:hint="eastAsia" w:ascii="楷体" w:hAnsi="楷体" w:eastAsia="楷体" w:cs="楷体"/>
          <w:sz w:val="32"/>
          <w:szCs w:val="40"/>
          <w:lang w:val="en-US" w:eastAsia="zh-CN"/>
        </w:rPr>
        <w:t>（一）城市建成区面积</w:t>
      </w:r>
      <w:bookmarkEnd w:id="4"/>
      <w:bookmarkEnd w:id="5"/>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2022年年末，全国城市建成区面积6.37万平方公里，同比增长2.01%。</w:t>
      </w:r>
    </w:p>
    <w:p>
      <w:pPr>
        <w:numPr>
          <w:ilvl w:val="0"/>
          <w:numId w:val="0"/>
        </w:numPr>
        <w:ind w:firstLine="420" w:firstLineChars="200"/>
      </w:pPr>
      <w:r>
        <w:drawing>
          <wp:inline distT="0" distB="0" distL="114300" distR="114300">
            <wp:extent cx="4910455" cy="1871980"/>
            <wp:effectExtent l="0" t="0" r="0" b="0"/>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广东和山东城市建成区面积超过5000平方公里；江苏、河南、浙江、四川、湖北、辽宁、安徽、河北和湖南9个省份超过2000平方公里；福建、广西、黑龙江、江西、重庆、吉林、陕西、新疆、山西、云南、内蒙古、天津、上海和贵州14个省（区、市）超过1000平方公里；甘肃超过500平方公里；宁夏、海南、青海、西藏4个省（区）和新疆生产建设兵团（以下简称新疆兵团）不足500平方公里。</w:t>
      </w:r>
    </w:p>
    <w:p>
      <w:pPr>
        <w:numPr>
          <w:ilvl w:val="0"/>
          <w:numId w:val="0"/>
        </w:numPr>
      </w:pPr>
      <w:r>
        <w:drawing>
          <wp:inline distT="0" distB="0" distL="114300" distR="114300">
            <wp:extent cx="5335270" cy="1908175"/>
            <wp:effectExtent l="0" t="0" r="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6" w:name="_Toc6032"/>
      <w:bookmarkStart w:id="7" w:name="_Toc1457"/>
      <w:r>
        <w:rPr>
          <w:rFonts w:hint="eastAsia" w:ascii="楷体" w:hAnsi="楷体" w:eastAsia="楷体" w:cs="楷体"/>
          <w:sz w:val="32"/>
          <w:szCs w:val="40"/>
          <w:lang w:val="en-US" w:eastAsia="zh-CN"/>
        </w:rPr>
        <w:t>（二）城市城区人口</w:t>
      </w:r>
      <w:bookmarkEnd w:id="6"/>
      <w:bookmarkEnd w:id="7"/>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2022年年末，全国城市城区人口5.65亿人，同比增长1.00%。</w:t>
      </w:r>
    </w:p>
    <w:p>
      <w:pPr>
        <w:numPr>
          <w:ilvl w:val="0"/>
          <w:numId w:val="0"/>
        </w:numPr>
      </w:pPr>
      <w:r>
        <w:drawing>
          <wp:inline distT="0" distB="0" distL="114300" distR="114300">
            <wp:extent cx="5216525" cy="2178050"/>
            <wp:effectExtent l="0" t="0" r="0" b="0"/>
            <wp:docPr id="2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广东城市城区人口超过5000万人；山东、江苏、浙江、四川、河南、上海、湖北、辽宁和河北9个省（市）超过2000万人；安徽、湖南、北京、重庆、福建、陕西、黑龙江、广西、山西、江西、吉林、天津和云南13个省（区、市）超过1000万人；内蒙古、贵州、新疆和甘肃4个省（区）超过500万人；海南、宁夏、青海、西藏4个省（区）和新疆兵团不足500万人。</w:t>
      </w:r>
    </w:p>
    <w:p>
      <w:pPr>
        <w:numPr>
          <w:ilvl w:val="0"/>
          <w:numId w:val="0"/>
        </w:numPr>
        <w:rPr>
          <w:rFonts w:hint="eastAsia"/>
          <w:lang w:val="en-US" w:eastAsia="zh-CN"/>
        </w:rPr>
      </w:pPr>
      <w:r>
        <w:drawing>
          <wp:inline distT="0" distB="0" distL="114300" distR="114300">
            <wp:extent cx="5269865" cy="2225040"/>
            <wp:effectExtent l="0" t="0" r="0" b="0"/>
            <wp:docPr id="5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0"/>
        </w:num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0"/>
        <w:rPr>
          <w:rFonts w:hint="default" w:ascii="黑体" w:hAnsi="黑体" w:eastAsia="黑体" w:cs="黑体"/>
          <w:sz w:val="32"/>
          <w:szCs w:val="32"/>
          <w:lang w:val="en-US" w:eastAsia="zh-CN"/>
        </w:rPr>
      </w:pPr>
      <w:bookmarkStart w:id="8" w:name="_Toc3008"/>
      <w:bookmarkStart w:id="9" w:name="_Toc11354"/>
      <w:r>
        <w:rPr>
          <w:rFonts w:hint="eastAsia" w:ascii="黑体" w:hAnsi="黑体" w:eastAsia="黑体" w:cs="黑体"/>
          <w:sz w:val="32"/>
          <w:szCs w:val="32"/>
          <w:lang w:val="en-US" w:eastAsia="zh-CN"/>
        </w:rPr>
        <w:t>二、市政设施固定资产投资</w:t>
      </w:r>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10" w:name="_Toc26793"/>
      <w:bookmarkStart w:id="11" w:name="_Toc13838"/>
      <w:r>
        <w:rPr>
          <w:rFonts w:hint="eastAsia" w:ascii="楷体" w:hAnsi="楷体" w:eastAsia="楷体" w:cs="楷体"/>
          <w:sz w:val="32"/>
          <w:szCs w:val="40"/>
          <w:lang w:val="en-US" w:eastAsia="zh-CN"/>
        </w:rPr>
        <w:t>（一）固定资产投资额</w:t>
      </w:r>
      <w:bookmarkEnd w:id="10"/>
      <w:bookmarkEnd w:id="11"/>
    </w:p>
    <w:p>
      <w:pPr>
        <w:numPr>
          <w:ilvl w:val="0"/>
          <w:numId w:val="0"/>
        </w:numPr>
        <w:ind w:firstLine="640" w:firstLineChars="200"/>
      </w:pPr>
      <w:r>
        <w:rPr>
          <w:rFonts w:hint="eastAsia" w:ascii="仿宋_GB2312" w:hAnsi="仿宋_GB2312" w:eastAsia="仿宋_GB2312" w:cs="仿宋_GB2312"/>
          <w:sz w:val="32"/>
          <w:szCs w:val="40"/>
          <w:u w:val="none"/>
          <w:lang w:val="en-US" w:eastAsia="zh-CN"/>
        </w:rPr>
        <w:t>2022年，全国</w:t>
      </w:r>
      <w:r>
        <w:rPr>
          <w:rFonts w:hint="eastAsia" w:ascii="仿宋_GB2312" w:hAnsi="仿宋_GB2312" w:eastAsia="仿宋_GB2312" w:cs="仿宋_GB2312"/>
          <w:color w:val="000000" w:themeColor="text1"/>
          <w:sz w:val="32"/>
          <w:szCs w:val="40"/>
          <w14:textFill>
            <w14:solidFill>
              <w14:schemeClr w14:val="tx1"/>
            </w14:solidFill>
          </w14:textFill>
        </w:rPr>
        <w:t>市政设施固定资产投资2.</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66</w:t>
      </w:r>
      <w:r>
        <w:rPr>
          <w:rFonts w:hint="eastAsia" w:ascii="仿宋_GB2312" w:hAnsi="仿宋_GB2312" w:eastAsia="仿宋_GB2312" w:cs="仿宋_GB2312"/>
          <w:color w:val="000000" w:themeColor="text1"/>
          <w:sz w:val="32"/>
          <w:szCs w:val="40"/>
          <w14:textFill>
            <w14:solidFill>
              <w14:schemeClr w14:val="tx1"/>
            </w14:solidFill>
          </w14:textFill>
        </w:rPr>
        <w:t>万亿元，同比</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下降3.13</w:t>
      </w:r>
      <w:r>
        <w:rPr>
          <w:rFonts w:hint="eastAsia" w:ascii="仿宋_GB2312" w:hAnsi="仿宋_GB2312" w:eastAsia="仿宋_GB2312" w:cs="仿宋_GB2312"/>
          <w:color w:val="000000" w:themeColor="text1"/>
          <w:sz w:val="32"/>
          <w:szCs w:val="40"/>
          <w14:textFill>
            <w14:solidFill>
              <w14:schemeClr w14:val="tx1"/>
            </w14:solidFill>
          </w14:textFill>
        </w:rPr>
        <w:t>%</w:t>
      </w:r>
      <w:r>
        <w:rPr>
          <w:rFonts w:hint="eastAsia" w:ascii="仿宋_GB2312" w:hAnsi="仿宋_GB2312" w:eastAsia="仿宋_GB2312" w:cs="仿宋_GB2312"/>
          <w:color w:val="000000" w:themeColor="text1"/>
          <w:sz w:val="32"/>
          <w:szCs w:val="40"/>
          <w:lang w:eastAsia="zh-CN"/>
          <w14:textFill>
            <w14:solidFill>
              <w14:schemeClr w14:val="tx1"/>
            </w14:solidFill>
          </w14:textFill>
        </w:rPr>
        <w:t>。</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其中，</w:t>
      </w:r>
      <w:r>
        <w:rPr>
          <w:rFonts w:hint="eastAsia" w:ascii="仿宋_GB2312" w:hAnsi="仿宋_GB2312" w:eastAsia="仿宋_GB2312" w:cs="仿宋_GB2312"/>
          <w:sz w:val="32"/>
          <w:szCs w:val="40"/>
          <w:u w:val="none"/>
          <w:lang w:val="en-US" w:eastAsia="zh-CN"/>
        </w:rPr>
        <w:t>道路桥梁占比最大，为38.4%；轨道交通、排水和园林绿化投资分别占22.7%、10.1%和6.4%；地下综合管廊占比最小，为1.3%。</w:t>
      </w:r>
    </w:p>
    <w:p>
      <w:pPr>
        <w:numPr>
          <w:ilvl w:val="0"/>
          <w:numId w:val="0"/>
        </w:numPr>
      </w:pPr>
      <w:r>
        <w:drawing>
          <wp:inline distT="0" distB="0" distL="114300" distR="114300">
            <wp:extent cx="5378450" cy="1986915"/>
            <wp:effectExtent l="0" t="0" r="0" b="0"/>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0"/>
        </w:numPr>
        <w:ind w:firstLine="0" w:firstLineChars="0"/>
        <w:jc w:val="center"/>
        <w:rPr>
          <w:rFonts w:hint="eastAsia" w:ascii="仿宋_GB2312" w:hAnsi="仿宋_GB2312" w:eastAsia="仿宋_GB2312" w:cs="仿宋_GB2312"/>
          <w:sz w:val="32"/>
          <w:szCs w:val="40"/>
          <w:u w:val="none"/>
          <w:lang w:val="en-US" w:eastAsia="zh-CN"/>
        </w:rPr>
      </w:pPr>
      <w:r>
        <w:rPr>
          <w:rFonts w:hint="eastAsia"/>
          <w:lang w:val="en-US" w:eastAsia="zh-CN"/>
        </w:rPr>
        <w:t xml:space="preserve">     </w:t>
      </w:r>
      <w:r>
        <w:drawing>
          <wp:inline distT="0" distB="0" distL="114300" distR="114300">
            <wp:extent cx="4914265" cy="2829560"/>
            <wp:effectExtent l="0" t="0" r="0" b="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分省份看，江苏、四川和浙江3个省份市政设施</w:t>
      </w:r>
      <w:r>
        <w:rPr>
          <w:rFonts w:ascii="Times New Roman" w:hAnsi="Times New Roman" w:eastAsia="仿宋_GB2312" w:cs="Times New Roman"/>
          <w:color w:val="000000" w:themeColor="text1"/>
          <w:sz w:val="32"/>
          <w:szCs w:val="40"/>
          <w14:textFill>
            <w14:solidFill>
              <w14:schemeClr w14:val="tx1"/>
            </w14:solidFill>
          </w14:textFill>
        </w:rPr>
        <w:t>固定资产投资</w:t>
      </w:r>
      <w:r>
        <w:rPr>
          <w:rFonts w:hint="eastAsia" w:ascii="仿宋_GB2312" w:hAnsi="仿宋_GB2312" w:eastAsia="仿宋_GB2312" w:cs="仿宋_GB2312"/>
          <w:sz w:val="32"/>
          <w:szCs w:val="40"/>
          <w:u w:val="none"/>
          <w:lang w:val="en-US" w:eastAsia="zh-CN"/>
        </w:rPr>
        <w:t>超过2000亿元，广东、湖北、山东、安徽、北京、重庆、陕西和江西8个省（市）超过1000亿元；河南、河北、贵州、湖南、福建、上海和山西7个省（市）超过500亿元；天津、辽宁、吉林、广西、云南、甘肃、黑龙江、新疆、内蒙古和海南10个省（区、市）超过100亿元；宁夏、青海、西藏3个省（区）和新疆兵团不足50亿元。</w:t>
      </w:r>
    </w:p>
    <w:p>
      <w:pPr>
        <w:numPr>
          <w:ilvl w:val="0"/>
          <w:numId w:val="0"/>
        </w:numPr>
        <w:rPr>
          <w:rFonts w:hint="eastAsia" w:ascii="仿宋_GB2312" w:hAnsi="仿宋_GB2312" w:eastAsia="仿宋_GB2312" w:cs="仿宋_GB2312"/>
          <w:sz w:val="32"/>
          <w:szCs w:val="40"/>
          <w:u w:val="none"/>
          <w:lang w:val="en-US" w:eastAsia="zh-CN"/>
        </w:rPr>
      </w:pPr>
      <w:r>
        <w:drawing>
          <wp:inline distT="0" distB="0" distL="114300" distR="114300">
            <wp:extent cx="5271135" cy="2098675"/>
            <wp:effectExtent l="0" t="0" r="0" b="0"/>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40"/>
          <w:lang w:val="en-US" w:eastAsia="zh-CN"/>
        </w:rPr>
      </w:pPr>
      <w:bookmarkStart w:id="12" w:name="_Toc14487"/>
      <w:bookmarkStart w:id="13" w:name="_Toc16118"/>
      <w:r>
        <w:rPr>
          <w:rFonts w:hint="eastAsia" w:ascii="楷体" w:hAnsi="楷体" w:eastAsia="楷体" w:cs="楷体"/>
          <w:sz w:val="32"/>
          <w:szCs w:val="40"/>
          <w:lang w:val="en-US" w:eastAsia="zh-CN"/>
        </w:rPr>
        <w:t>（二）资金来源</w:t>
      </w:r>
      <w:bookmarkEnd w:id="12"/>
      <w:bookmarkEnd w:id="13"/>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全国市政设施实际到位资金合计2.67万亿元，同比下降12.91%。其中，上年末结余资金0.23万亿元，同比下降42.12%；当年实际到位资金2.44万亿元，同比下降8.56%。其中，国家预算资金占当年实际到位资金的比重最大，为30.1%；其次是自筹资金、其他资金、国内贷款和债券的占比分别为26.8%、20.3%、12.5%和10.0%；利用外资占比最小，为0.3%。</w:t>
      </w:r>
    </w:p>
    <w:p>
      <w:pPr>
        <w:numPr>
          <w:ilvl w:val="0"/>
          <w:numId w:val="0"/>
        </w:numPr>
        <w:ind w:left="1056" w:leftChars="-95" w:hanging="1255" w:hangingChars="598"/>
        <w:jc w:val="center"/>
        <w:rPr>
          <w:rFonts w:hint="eastAsia"/>
          <w:lang w:val="en-US" w:eastAsia="zh-CN"/>
        </w:rPr>
      </w:pPr>
      <w:r>
        <w:drawing>
          <wp:inline distT="0" distB="0" distL="114300" distR="114300">
            <wp:extent cx="4845685" cy="2195830"/>
            <wp:effectExtent l="0" t="0" r="0" b="0"/>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drawing>
          <wp:inline distT="0" distB="0" distL="114300" distR="114300">
            <wp:extent cx="4352290" cy="2379345"/>
            <wp:effectExtent l="0" t="0" r="0" b="0"/>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suppressLineNumbers w:val="0"/>
        <w:spacing w:before="0" w:beforeAutospacing="0" w:after="120" w:afterLines="50" w:afterAutospacing="0" w:line="336" w:lineRule="auto"/>
        <w:ind w:left="0" w:right="0" w:firstLine="420" w:firstLineChars="200"/>
        <w:jc w:val="both"/>
        <w:rPr>
          <w:rFonts w:hint="eastAsia" w:ascii="仿宋_GB2312" w:hAnsi="仿宋_GB2312" w:eastAsia="仿宋_GB2312" w:cs="仿宋_GB2312"/>
          <w:sz w:val="32"/>
          <w:szCs w:val="40"/>
          <w:u w:val="none"/>
          <w:lang w:val="en-US" w:eastAsia="zh-CN"/>
        </w:rPr>
      </w:pPr>
      <w:r>
        <w:rPr>
          <w:rFonts w:hint="eastAsia"/>
          <w:lang w:val="en-US" w:eastAsia="zh-CN"/>
        </w:rPr>
        <w:t xml:space="preserve">   </w:t>
      </w:r>
      <w:r>
        <w:rPr>
          <w:rFonts w:hint="eastAsia" w:ascii="仿宋_GB2312" w:hAnsi="仿宋_GB2312" w:eastAsia="仿宋_GB2312" w:cs="仿宋_GB2312"/>
          <w:sz w:val="32"/>
          <w:szCs w:val="40"/>
          <w:u w:val="none"/>
          <w:lang w:val="en-US" w:eastAsia="zh-CN"/>
        </w:rPr>
        <w:t>分省份看，江苏和浙江2个省份市政设施实际到位资金合计超过2000亿元；四川、广东、山东、安徽、重庆、湖北、陕西、北京、江西、河北和河南11个省（市）超过1000亿元；湖南、福建、贵州和上海4个省（市）超过500亿元；天津、山西、吉林、甘肃、广西、云南、新疆、黑龙江、辽宁、内蒙古和海南11个省（区、市）超过100亿元；西藏、青海、宁夏3个省（区）和新疆兵团不足100亿元。</w:t>
      </w:r>
    </w:p>
    <w:p>
      <w:pPr>
        <w:keepNext w:val="0"/>
        <w:keepLines w:val="0"/>
        <w:widowControl/>
        <w:suppressLineNumbers w:val="0"/>
        <w:spacing w:before="0" w:beforeAutospacing="0" w:after="120" w:afterLines="50" w:afterAutospacing="0" w:line="336" w:lineRule="auto"/>
        <w:ind w:right="0"/>
        <w:jc w:val="both"/>
        <w:rPr>
          <w:rFonts w:hint="eastAsia" w:ascii="仿宋_GB2312" w:hAnsi="仿宋_GB2312" w:eastAsia="仿宋_GB2312" w:cs="仿宋_GB2312"/>
          <w:sz w:val="32"/>
          <w:szCs w:val="40"/>
          <w:u w:val="none"/>
          <w:lang w:val="en-US" w:eastAsia="zh-CN"/>
        </w:rPr>
      </w:pPr>
      <w:r>
        <w:drawing>
          <wp:inline distT="0" distB="0" distL="114300" distR="114300">
            <wp:extent cx="5292090" cy="1814195"/>
            <wp:effectExtent l="0" t="0" r="0" b="0"/>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0"/>
        <w:rPr>
          <w:rFonts w:hint="eastAsia" w:ascii="黑体" w:hAnsi="黑体" w:eastAsia="黑体" w:cs="黑体"/>
          <w:sz w:val="32"/>
          <w:szCs w:val="32"/>
          <w:lang w:val="en-US" w:eastAsia="zh-CN"/>
        </w:rPr>
      </w:pPr>
      <w:bookmarkStart w:id="14" w:name="_Toc18429"/>
      <w:bookmarkStart w:id="15" w:name="_Toc26788"/>
      <w:r>
        <w:rPr>
          <w:rFonts w:hint="eastAsia" w:ascii="黑体" w:hAnsi="黑体" w:eastAsia="黑体" w:cs="黑体"/>
          <w:sz w:val="32"/>
          <w:szCs w:val="32"/>
          <w:lang w:val="en-US" w:eastAsia="zh-CN"/>
        </w:rPr>
        <w:t>三、城市居民生活方面</w:t>
      </w:r>
      <w:bookmarkEnd w:id="14"/>
      <w:bookmarkEnd w:id="15"/>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40"/>
          <w:lang w:val="en-US" w:eastAsia="zh-CN"/>
        </w:rPr>
      </w:pPr>
      <w:bookmarkStart w:id="16" w:name="_Toc19148"/>
      <w:bookmarkStart w:id="17" w:name="_Toc13047"/>
      <w:r>
        <w:rPr>
          <w:rFonts w:hint="eastAsia" w:ascii="楷体" w:hAnsi="楷体" w:eastAsia="楷体" w:cs="楷体"/>
          <w:sz w:val="32"/>
          <w:szCs w:val="40"/>
          <w:lang w:val="en-US" w:eastAsia="zh-CN"/>
        </w:rPr>
        <w:t>（一）城市供水</w:t>
      </w:r>
      <w:bookmarkEnd w:id="16"/>
      <w:bookmarkEnd w:id="17"/>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2022年，全国城市供水总量674.41亿立方米，同比增长0.16%；城市供水管道长度110.30万公里，同比增长4.06%；人均日生活用水量184.73升，比上年减少0.30升；供水普及率99.39%，比上年增加0.01个百分点。</w:t>
      </w:r>
    </w:p>
    <w:p>
      <w:pPr>
        <w:numPr>
          <w:ilvl w:val="0"/>
          <w:numId w:val="0"/>
        </w:numPr>
        <w:jc w:val="center"/>
      </w:pPr>
      <w:r>
        <w:drawing>
          <wp:inline distT="0" distB="0" distL="114300" distR="114300">
            <wp:extent cx="4572000" cy="1958340"/>
            <wp:effectExtent l="0" t="0" r="0" b="0"/>
            <wp:docPr id="2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0"/>
        </w:numPr>
        <w:jc w:val="center"/>
      </w:pPr>
      <w:r>
        <w:drawing>
          <wp:inline distT="0" distB="0" distL="114300" distR="114300">
            <wp:extent cx="4377690" cy="2012315"/>
            <wp:effectExtent l="0" t="0" r="0" b="0"/>
            <wp:docPr id="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numPr>
          <w:ilvl w:val="0"/>
          <w:numId w:val="0"/>
        </w:numPr>
        <w:jc w:val="center"/>
      </w:pP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海南和广西2个省（区）城市人均日生活用水量超过250升，西藏、广东、福建、江西、湖南、浙江、江苏、上海8个省（区、市）和新疆兵团超过200升；湖北、四川、安徽、云南、重庆、贵州、青海、宁夏、北京、陕西、新疆和辽宁12个省（区、市）超过150升；河南、甘肃、山西、黑龙江、山东、河北、天津、吉林和内蒙古9个省（区、市）超过100升。</w:t>
      </w:r>
    </w:p>
    <w:p>
      <w:pPr>
        <w:numPr>
          <w:ilvl w:val="0"/>
          <w:numId w:val="0"/>
        </w:numPr>
        <w:rPr>
          <w:rFonts w:hint="default"/>
          <w:lang w:val="en-US" w:eastAsia="zh-CN"/>
        </w:rPr>
      </w:pPr>
      <w:r>
        <w:drawing>
          <wp:inline distT="0" distB="0" distL="114300" distR="114300">
            <wp:extent cx="5426710" cy="1968500"/>
            <wp:effectExtent l="0" t="0" r="0" b="0"/>
            <wp:docPr id="1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河北、上海、江苏、浙江和天津5个省（市）城市供水普及率达到100%；宁夏、福建、海南、湖北、山东、广西、北京、安徽、广东、新疆、西藏、内蒙古、青海、甘肃、江西、河南、黑龙江、云南和湖南19个省（区、市）超过99%；辽宁、贵州、山西、重庆和陕西5个省（市）超过98%；四川、吉林2个省和新疆兵团超过95%。</w:t>
      </w:r>
    </w:p>
    <w:p>
      <w:pPr>
        <w:numPr>
          <w:ilvl w:val="0"/>
          <w:numId w:val="0"/>
        </w:numPr>
      </w:pPr>
      <w:r>
        <w:drawing>
          <wp:inline distT="0" distB="0" distL="114300" distR="114300">
            <wp:extent cx="5268595" cy="2390140"/>
            <wp:effectExtent l="0" t="0" r="0" b="0"/>
            <wp:docPr id="2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18" w:name="_Toc6124"/>
      <w:bookmarkStart w:id="19" w:name="_Toc19450"/>
      <w:r>
        <w:rPr>
          <w:rFonts w:hint="eastAsia" w:ascii="楷体" w:hAnsi="楷体" w:eastAsia="楷体" w:cs="楷体"/>
          <w:sz w:val="32"/>
          <w:szCs w:val="40"/>
          <w:lang w:val="en-US" w:eastAsia="zh-CN"/>
        </w:rPr>
        <w:t>（二）城市燃气</w:t>
      </w:r>
      <w:bookmarkEnd w:id="18"/>
      <w:bookmarkEnd w:id="19"/>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1.供气总量</w:t>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2022年，全国城市人工煤气供气总量18.14亿立方米，同比下降3.09%；天然气供气总量1767.70亿立方米，同比增长2.71%；液化石油气供气总量758.46万吨，同比下降11.88%。</w:t>
      </w:r>
    </w:p>
    <w:p>
      <w:pPr>
        <w:numPr>
          <w:ilvl w:val="0"/>
          <w:numId w:val="0"/>
        </w:numPr>
        <w:ind w:firstLine="420" w:firstLineChars="200"/>
        <w:jc w:val="center"/>
      </w:pPr>
      <w:r>
        <w:drawing>
          <wp:inline distT="0" distB="0" distL="114300" distR="114300">
            <wp:extent cx="4694555" cy="2501900"/>
            <wp:effectExtent l="0" t="0" r="0" b="0"/>
            <wp:docPr id="2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numPr>
          <w:ilvl w:val="0"/>
          <w:numId w:val="0"/>
        </w:numPr>
        <w:ind w:firstLine="420" w:firstLineChars="200"/>
        <w:jc w:val="center"/>
      </w:pPr>
      <w:r>
        <w:drawing>
          <wp:inline distT="0" distB="0" distL="114300" distR="114300">
            <wp:extent cx="4572000" cy="2225040"/>
            <wp:effectExtent l="0" t="0" r="0" b="0"/>
            <wp:docPr id="3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numPr>
          <w:ilvl w:val="0"/>
          <w:numId w:val="0"/>
        </w:numPr>
        <w:ind w:firstLine="420" w:firstLineChars="200"/>
        <w:jc w:val="center"/>
      </w:pPr>
      <w:r>
        <w:drawing>
          <wp:inline distT="0" distB="0" distL="114300" distR="114300">
            <wp:extent cx="4572000" cy="2225040"/>
            <wp:effectExtent l="0" t="0" r="0" b="0"/>
            <wp:docPr id="3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2.供气管道长度</w:t>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2022年，全国城市人工煤气管道长度0.67万公里，同比下降26.70%；天然气管道长度98.04万公里，同比增长5.52%；液化石油气管道长度0.25万公里，同比下降12.46%。</w:t>
      </w:r>
    </w:p>
    <w:p>
      <w:pPr>
        <w:numPr>
          <w:ilvl w:val="0"/>
          <w:numId w:val="0"/>
        </w:numPr>
        <w:ind w:firstLine="420" w:firstLineChars="200"/>
        <w:jc w:val="center"/>
      </w:pPr>
      <w:r>
        <w:drawing>
          <wp:inline distT="0" distB="0" distL="114300" distR="114300">
            <wp:extent cx="4572000" cy="2225040"/>
            <wp:effectExtent l="0" t="0" r="0" b="0"/>
            <wp:docPr id="3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numPr>
          <w:ilvl w:val="0"/>
          <w:numId w:val="0"/>
        </w:numPr>
        <w:ind w:firstLine="420" w:firstLineChars="200"/>
        <w:jc w:val="center"/>
        <w:rPr>
          <w:rFonts w:hint="default"/>
          <w:lang w:val="en-US" w:eastAsia="zh-CN"/>
        </w:rPr>
      </w:pPr>
      <w:r>
        <w:drawing>
          <wp:inline distT="0" distB="0" distL="114300" distR="114300">
            <wp:extent cx="4572000" cy="2225040"/>
            <wp:effectExtent l="0" t="0" r="0" b="0"/>
            <wp:docPr id="5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numPr>
          <w:ilvl w:val="0"/>
          <w:numId w:val="0"/>
        </w:numPr>
        <w:ind w:firstLine="420" w:firstLineChars="200"/>
        <w:jc w:val="center"/>
        <w:rPr>
          <w:rFonts w:hint="eastAsia"/>
          <w:lang w:val="en-US" w:eastAsia="zh-CN"/>
        </w:rPr>
      </w:pPr>
      <w:r>
        <w:drawing>
          <wp:inline distT="0" distB="0" distL="114300" distR="114300">
            <wp:extent cx="4572000" cy="2225040"/>
            <wp:effectExtent l="0" t="0" r="0" b="0"/>
            <wp:docPr id="5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3.燃气普及率</w:t>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2022年，全国城市燃气普及率98.06%，比上年增加0.02个百分点；管道燃气普及率81.54%，比上年增加1.70个百分点。</w:t>
      </w:r>
    </w:p>
    <w:p>
      <w:pPr>
        <w:numPr>
          <w:ilvl w:val="0"/>
          <w:numId w:val="0"/>
        </w:numPr>
        <w:ind w:firstLine="420" w:firstLineChars="200"/>
        <w:jc w:val="center"/>
      </w:pPr>
      <w:r>
        <w:drawing>
          <wp:inline distT="0" distB="0" distL="114300" distR="114300">
            <wp:extent cx="4572000" cy="2225040"/>
            <wp:effectExtent l="0" t="0" r="0" b="0"/>
            <wp:docPr id="5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numPr>
          <w:ilvl w:val="0"/>
          <w:numId w:val="0"/>
        </w:numPr>
        <w:ind w:firstLine="420" w:firstLineChars="200"/>
        <w:jc w:val="center"/>
      </w:pPr>
      <w:r>
        <w:drawing>
          <wp:inline distT="0" distB="0" distL="114300" distR="114300">
            <wp:extent cx="4572000" cy="1868170"/>
            <wp:effectExtent l="0" t="0" r="0" b="0"/>
            <wp:docPr id="5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北京、天津和上海3个城市燃气普及率达到100%；浙江、江苏、福建、河北、海南、湖北、山东、广西、安徽和陕西10个省（区）超过99%；新疆、江西、重庆、广东、宁夏、河南、内蒙古、辽宁、湖南、山西、甘肃、四川、吉林13个省（区、市）和新疆兵团超过95%；青海、贵州和黑龙江3个省超过90%；西藏和云南不足80%。</w:t>
      </w:r>
    </w:p>
    <w:p>
      <w:pPr>
        <w:numPr>
          <w:ilvl w:val="0"/>
          <w:numId w:val="0"/>
        </w:numPr>
        <w:rPr>
          <w:rFonts w:hint="eastAsia"/>
          <w:lang w:val="en-US" w:eastAsia="zh-CN"/>
        </w:rPr>
      </w:pPr>
      <w:r>
        <w:drawing>
          <wp:inline distT="0" distB="0" distL="114300" distR="114300">
            <wp:extent cx="5267325" cy="2033905"/>
            <wp:effectExtent l="0" t="0" r="0" b="0"/>
            <wp:docPr id="3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重庆和山西2个省（市）城市管道燃气普及率超过95%；新疆、陕西、天津、四川、安徽、山东、河北、宁夏、江苏9个省（区、市）和新疆兵团超过90%；甘肃、河南、辽宁、青海、湖北、海南、上海、江西、吉林、湖南、北京、内蒙古、黑龙江、浙江、福建、贵州、广西和广东18个省（区、市）超过60%；云南和西藏超过40%。</w:t>
      </w:r>
    </w:p>
    <w:p>
      <w:pPr>
        <w:numPr>
          <w:ilvl w:val="0"/>
          <w:numId w:val="0"/>
        </w:numPr>
      </w:pPr>
      <w:r>
        <w:drawing>
          <wp:inline distT="0" distB="0" distL="114300" distR="114300">
            <wp:extent cx="5267325" cy="2030095"/>
            <wp:effectExtent l="0" t="0" r="0" b="0"/>
            <wp:docPr id="7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20" w:name="_Toc17103"/>
      <w:bookmarkStart w:id="21" w:name="_Toc25138"/>
      <w:r>
        <w:rPr>
          <w:rFonts w:hint="eastAsia" w:ascii="楷体" w:hAnsi="楷体" w:eastAsia="楷体" w:cs="楷体"/>
          <w:sz w:val="32"/>
          <w:szCs w:val="40"/>
          <w:lang w:val="en-US" w:eastAsia="zh-CN"/>
        </w:rPr>
        <w:t>（三）城市集中供热</w:t>
      </w:r>
      <w:bookmarkEnd w:id="20"/>
      <w:bookmarkEnd w:id="21"/>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1.集中供热能力</w:t>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40"/>
          <w:u w:val="none"/>
          <w:lang w:val="en-US" w:eastAsia="zh-CN"/>
        </w:rPr>
        <w:t>2022年年末，全国城市蒸汽集中供热能力12.55万吨/小时，同比增长5.69%；热水集中供热能力60.02万兆瓦，同比增长1.17%。</w:t>
      </w:r>
    </w:p>
    <w:p>
      <w:pPr>
        <w:numPr>
          <w:ilvl w:val="0"/>
          <w:numId w:val="0"/>
        </w:numPr>
        <w:ind w:firstLine="420" w:firstLineChars="200"/>
        <w:jc w:val="center"/>
      </w:pPr>
      <w:r>
        <w:drawing>
          <wp:inline distT="0" distB="0" distL="114300" distR="114300">
            <wp:extent cx="4572000" cy="2225040"/>
            <wp:effectExtent l="0" t="0" r="0" b="0"/>
            <wp:docPr id="6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numPr>
          <w:ilvl w:val="0"/>
          <w:numId w:val="0"/>
        </w:numPr>
        <w:ind w:firstLine="420" w:firstLineChars="200"/>
        <w:jc w:val="center"/>
      </w:pPr>
      <w:r>
        <w:drawing>
          <wp:inline distT="0" distB="0" distL="114300" distR="114300">
            <wp:extent cx="4572000" cy="2225040"/>
            <wp:effectExtent l="0" t="0" r="0" b="0"/>
            <wp:docPr id="6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2.集中供热面积</w:t>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2022年年末，全国城市集中供热面积111.25亿平方米，同比增长4.92%。</w:t>
      </w:r>
    </w:p>
    <w:p>
      <w:pPr>
        <w:numPr>
          <w:ilvl w:val="0"/>
          <w:numId w:val="0"/>
        </w:numPr>
        <w:ind w:firstLine="420" w:firstLineChars="200"/>
        <w:jc w:val="center"/>
      </w:pPr>
      <w:r>
        <w:drawing>
          <wp:inline distT="0" distB="0" distL="114300" distR="114300">
            <wp:extent cx="4572000" cy="2225040"/>
            <wp:effectExtent l="0" t="0" r="0" b="0"/>
            <wp:docPr id="6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山东和辽宁2个省份城市集中供热面积超过10亿平方米；河北、黑龙江、山西、吉林、北京、内蒙古、河南、天津和陕西9个省（区、市）超过5亿平方米；新疆、甘肃、宁夏和青海4个省（区）超过1亿平方米；江苏、安徽、湖北、贵州、云南、西藏、四川7个省（区）和新疆兵团不足1亿平方米；上海、浙江、福建、江西、湖南、广东、广西、海南和重庆9个省（区、市）无集中供热。</w:t>
      </w:r>
    </w:p>
    <w:p>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auto"/>
        <w:outlineLvl w:val="9"/>
        <w:rPr>
          <w:rFonts w:hint="eastAsia" w:ascii="黑体" w:hAnsi="黑体" w:eastAsia="黑体" w:cs="黑体"/>
          <w:sz w:val="32"/>
          <w:szCs w:val="32"/>
          <w:lang w:val="en-US" w:eastAsia="zh-CN"/>
        </w:rPr>
      </w:pPr>
      <w:r>
        <w:drawing>
          <wp:inline distT="0" distB="0" distL="114300" distR="114300">
            <wp:extent cx="5270500" cy="2206625"/>
            <wp:effectExtent l="0" t="0" r="0" b="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bookmarkStart w:id="22" w:name="_Toc8291"/>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0"/>
        <w:rPr>
          <w:rFonts w:hint="eastAsia" w:ascii="黑体" w:hAnsi="黑体" w:eastAsia="黑体" w:cs="黑体"/>
          <w:sz w:val="32"/>
          <w:szCs w:val="32"/>
          <w:lang w:val="en-US" w:eastAsia="zh-CN"/>
        </w:rPr>
      </w:pPr>
      <w:bookmarkStart w:id="23" w:name="_Toc2333"/>
      <w:r>
        <w:rPr>
          <w:rFonts w:hint="eastAsia" w:ascii="黑体" w:hAnsi="黑体" w:eastAsia="黑体" w:cs="黑体"/>
          <w:sz w:val="32"/>
          <w:szCs w:val="32"/>
          <w:lang w:val="en-US" w:eastAsia="zh-CN"/>
        </w:rPr>
        <w:t>四、城市居民出行方面</w:t>
      </w:r>
      <w:bookmarkEnd w:id="23"/>
    </w:p>
    <w:bookmarkEnd w:id="22"/>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24" w:name="_Toc29466"/>
      <w:bookmarkStart w:id="25" w:name="_Toc25962"/>
      <w:r>
        <w:rPr>
          <w:rFonts w:hint="eastAsia" w:ascii="楷体" w:hAnsi="楷体" w:eastAsia="楷体" w:cs="楷体"/>
          <w:sz w:val="32"/>
          <w:szCs w:val="40"/>
          <w:lang w:val="en-US" w:eastAsia="zh-CN"/>
        </w:rPr>
        <w:t>（一）城市轨道交通</w:t>
      </w:r>
      <w:bookmarkEnd w:id="24"/>
      <w:bookmarkEnd w:id="25"/>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2022年年末，全国城市已建成轨道交通9575.01公里，同比增长11.71%;在建轨道交通4802.89公里，同比下降7.14%。</w:t>
      </w:r>
    </w:p>
    <w:p>
      <w:pPr>
        <w:numPr>
          <w:ilvl w:val="0"/>
          <w:numId w:val="0"/>
        </w:numPr>
        <w:jc w:val="both"/>
      </w:pPr>
      <w:r>
        <w:drawing>
          <wp:inline distT="0" distB="0" distL="114300" distR="114300">
            <wp:extent cx="5269865" cy="2181860"/>
            <wp:effectExtent l="0" t="0" r="0" b="0"/>
            <wp:docPr id="8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广东和江苏2个省份已建成城市轨道交通长度突破1000公里；北京、上海、浙江、四川和湖北5个省（市）超过500公里；重庆、辽宁、山东、天津、陕西、湖南、河南、安徽、福建、云南、广西、江西和吉林13个省（区、市）在100—500公里之间；黑龙江、河北、贵州、内蒙古、甘肃、新疆、山西和海南8个省（区）不足100公里；西藏、青海、宁夏3个省（区）和新疆兵团暂无轨道交通。</w:t>
      </w:r>
    </w:p>
    <w:p>
      <w:pPr>
        <w:numPr>
          <w:ilvl w:val="0"/>
          <w:numId w:val="0"/>
        </w:numPr>
      </w:pPr>
      <w:r>
        <w:drawing>
          <wp:inline distT="0" distB="0" distL="114300" distR="114300">
            <wp:extent cx="5461000" cy="1854200"/>
            <wp:effectExtent l="0" t="0" r="0" b="0"/>
            <wp:docPr id="3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40"/>
          <w:u w:val="none"/>
          <w:lang w:val="en-US" w:eastAsia="zh-CN"/>
        </w:rPr>
        <w:t>广东和江苏2个省份在建的城市轨道交通长度超过500公里；浙江、山东、重庆、北京、四川、福建、河南、天津、辽宁、陕西、上海、安徽、湖北和吉林14个省（市）在100—500公里之间；湖南、贵州、新疆、河北、江西、山西、云南、黑龙江、甘肃和广西10个省（区）不足100公里。</w:t>
      </w:r>
    </w:p>
    <w:p>
      <w:pPr>
        <w:numPr>
          <w:ilvl w:val="0"/>
          <w:numId w:val="0"/>
        </w:numPr>
        <w:rPr>
          <w:rFonts w:hint="eastAsia" w:ascii="仿宋_GB2312" w:hAnsi="仿宋_GB2312" w:eastAsia="仿宋_GB2312" w:cs="仿宋_GB2312"/>
          <w:sz w:val="32"/>
          <w:szCs w:val="40"/>
          <w:u w:val="none"/>
          <w:lang w:val="en-US" w:eastAsia="zh-CN"/>
        </w:rPr>
      </w:pPr>
      <w:r>
        <w:drawing>
          <wp:inline distT="0" distB="0" distL="114300" distR="114300">
            <wp:extent cx="5547360" cy="2005330"/>
            <wp:effectExtent l="0" t="0" r="0" b="0"/>
            <wp:docPr id="3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40"/>
          <w:lang w:val="en-US" w:eastAsia="zh-CN"/>
        </w:rPr>
      </w:pPr>
      <w:bookmarkStart w:id="26" w:name="_Toc31021"/>
      <w:bookmarkStart w:id="27" w:name="_Toc2328"/>
      <w:r>
        <w:rPr>
          <w:rFonts w:hint="eastAsia" w:ascii="楷体" w:hAnsi="楷体" w:eastAsia="楷体" w:cs="楷体"/>
          <w:sz w:val="32"/>
          <w:szCs w:val="40"/>
          <w:lang w:val="en-US" w:eastAsia="zh-CN"/>
        </w:rPr>
        <w:t>（二）城市道路</w:t>
      </w:r>
      <w:bookmarkEnd w:id="26"/>
      <w:bookmarkEnd w:id="27"/>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2022年年末，全国城市道路面积108.93亿平方米，同比增长3.39%；城市道路长度55.22万公里，同比增长3.70%。2022年城市人均道路面积19.28平方米，比上年增加0.44平方米。</w:t>
      </w:r>
    </w:p>
    <w:p>
      <w:pPr>
        <w:numPr>
          <w:ilvl w:val="0"/>
          <w:numId w:val="0"/>
        </w:numPr>
        <w:jc w:val="center"/>
      </w:pPr>
      <w:r>
        <w:drawing>
          <wp:inline distT="0" distB="0" distL="114300" distR="114300">
            <wp:extent cx="4867275" cy="2040890"/>
            <wp:effectExtent l="0" t="0" r="0" b="0"/>
            <wp:docPr id="8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numPr>
          <w:ilvl w:val="0"/>
          <w:numId w:val="0"/>
        </w:numPr>
        <w:jc w:val="center"/>
      </w:pPr>
      <w:r>
        <w:drawing>
          <wp:inline distT="0" distB="0" distL="114300" distR="114300">
            <wp:extent cx="4867275" cy="2040890"/>
            <wp:effectExtent l="0" t="0" r="0" b="0"/>
            <wp:docPr id="8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numPr>
          <w:ilvl w:val="0"/>
          <w:numId w:val="0"/>
        </w:numPr>
        <w:jc w:val="center"/>
        <w:rPr>
          <w:rFonts w:hint="default"/>
          <w:lang w:val="en-US" w:eastAsia="zh-CN"/>
        </w:rPr>
      </w:pPr>
      <w:r>
        <w:drawing>
          <wp:inline distT="0" distB="0" distL="114300" distR="114300">
            <wp:extent cx="4867275" cy="1951355"/>
            <wp:effectExtent l="0" t="0" r="0" b="0"/>
            <wp:docPr id="8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numPr>
          <w:ilvl w:val="0"/>
          <w:numId w:val="0"/>
        </w:numPr>
        <w:ind w:leftChars="0"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宁夏、贵州、山东、江西、江苏、海南、内蒙古、安徽、广西、新疆、甘肃、西藏、福建、河北、湖南15个省（区）和新疆兵团城市人均道路面积在20平方米以上；湖北、浙江、青海、辽宁、山西、四川、陕西、云南、吉林、河南、重庆、黑龙江、天津和广东14个省（市）在15—20平方米之间；北京和上海不足10平方米。</w:t>
      </w:r>
    </w:p>
    <w:p>
      <w:pPr>
        <w:numPr>
          <w:ilvl w:val="0"/>
          <w:numId w:val="0"/>
        </w:numPr>
      </w:pPr>
      <w:r>
        <w:drawing>
          <wp:inline distT="0" distB="0" distL="114300" distR="114300">
            <wp:extent cx="5561965" cy="2235835"/>
            <wp:effectExtent l="0" t="0" r="0" b="0"/>
            <wp:docPr id="4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Pr>
        <w:numPr>
          <w:ilvl w:val="0"/>
          <w:numId w:val="0"/>
        </w:numPr>
        <w:ind w:firstLine="640" w:firstLineChars="200"/>
        <w:outlineLvl w:val="0"/>
        <w:rPr>
          <w:rFonts w:hint="eastAsia" w:ascii="黑体" w:hAnsi="黑体" w:eastAsia="黑体" w:cs="黑体"/>
          <w:sz w:val="32"/>
          <w:szCs w:val="32"/>
        </w:rPr>
      </w:pPr>
      <w:bookmarkStart w:id="28" w:name="_Toc15022"/>
      <w:r>
        <w:rPr>
          <w:rFonts w:hint="eastAsia" w:ascii="黑体" w:hAnsi="黑体" w:eastAsia="黑体" w:cs="黑体"/>
          <w:sz w:val="32"/>
          <w:szCs w:val="32"/>
          <w:lang w:val="en-US" w:eastAsia="zh-CN"/>
        </w:rPr>
        <w:t>五、城市环境卫生方面</w:t>
      </w:r>
      <w:bookmarkEnd w:id="28"/>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29" w:name="_Toc15596"/>
      <w:r>
        <w:rPr>
          <w:rFonts w:hint="eastAsia" w:ascii="楷体" w:hAnsi="楷体" w:eastAsia="楷体" w:cs="楷体"/>
          <w:sz w:val="32"/>
          <w:szCs w:val="40"/>
          <w:lang w:val="en-US" w:eastAsia="zh-CN"/>
        </w:rPr>
        <w:t>（一）城市污水处理</w:t>
      </w:r>
      <w:bookmarkEnd w:id="29"/>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年末，全国城市排水管道总长度91.35万公里，同比增长4.73%；污水处理厂处理能力2.16亿立方米/日，同比增长4.04%。2022年，污水处理率98.11%，比上年增加0.22个百分点；城市生活污水集中收集率70.06%，比上年增加1.47个百分点。</w:t>
      </w:r>
    </w:p>
    <w:p>
      <w:pPr>
        <w:numPr>
          <w:ilvl w:val="0"/>
          <w:numId w:val="0"/>
        </w:numPr>
        <w:ind w:firstLine="420" w:firstLineChars="200"/>
        <w:jc w:val="center"/>
        <w:rPr>
          <w:rFonts w:hint="eastAsia" w:ascii="仿宋_GB2312" w:hAnsi="仿宋_GB2312" w:eastAsia="仿宋_GB2312" w:cs="仿宋_GB2312"/>
          <w:sz w:val="32"/>
          <w:szCs w:val="40"/>
          <w:u w:val="none"/>
          <w:lang w:val="en-US" w:eastAsia="zh-CN"/>
        </w:rPr>
      </w:pPr>
      <w:r>
        <w:drawing>
          <wp:inline distT="0" distB="0" distL="114300" distR="114300">
            <wp:extent cx="4968240" cy="194373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numPr>
          <w:ilvl w:val="0"/>
          <w:numId w:val="0"/>
        </w:numPr>
        <w:ind w:firstLine="420" w:firstLineChars="200"/>
        <w:jc w:val="center"/>
        <w:rPr>
          <w:rFonts w:hint="eastAsia" w:ascii="仿宋_GB2312" w:hAnsi="仿宋_GB2312" w:eastAsia="仿宋_GB2312" w:cs="仿宋_GB2312"/>
          <w:sz w:val="32"/>
          <w:szCs w:val="40"/>
          <w:u w:val="none"/>
          <w:lang w:val="en-US" w:eastAsia="zh-CN"/>
        </w:rPr>
      </w:pPr>
      <w:r>
        <w:drawing>
          <wp:inline distT="0" distB="0" distL="114300" distR="114300">
            <wp:extent cx="4658360" cy="143573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广东、江苏、山东、浙江、辽宁和河南6个省份城市污水处理厂处理能力超过1000万立方米/日；湖北、四川、上海、湖南、安徽、河北、北京、陕西、福建和广西10个省（区、市）在500—1000万立方米/日之间；重庆、吉林、江西、黑龙江、贵州、云南、山西、天津、新疆、内蒙古、甘肃、宁夏和海南13个省（区、市）在100—500万立方米/日之间；青海、西藏和新疆兵团不足100万立方米/日。</w:t>
      </w:r>
    </w:p>
    <w:p>
      <w:pPr>
        <w:numPr>
          <w:ilvl w:val="0"/>
          <w:numId w:val="0"/>
        </w:numPr>
      </w:pPr>
      <w:r>
        <w:drawing>
          <wp:inline distT="0" distB="0" distL="114300" distR="114300">
            <wp:extent cx="5457825" cy="1929765"/>
            <wp:effectExtent l="0" t="0" r="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pPr>
        <w:numPr>
          <w:ilvl w:val="0"/>
          <w:numId w:val="0"/>
        </w:numPr>
        <w:ind w:firstLine="640" w:firstLineChars="200"/>
      </w:pPr>
      <w:r>
        <w:rPr>
          <w:rFonts w:hint="eastAsia" w:ascii="仿宋_GB2312" w:hAnsi="仿宋_GB2312" w:eastAsia="仿宋_GB2312" w:cs="仿宋_GB2312"/>
          <w:sz w:val="32"/>
          <w:szCs w:val="40"/>
          <w:u w:val="none"/>
          <w:lang w:val="en-US" w:eastAsia="zh-CN"/>
        </w:rPr>
        <w:t>上海、北京、天津、新疆、河北、陕西、河南、宁夏、内蒙古、江苏、甘肃、浙江、吉林、广东、山东和山西16个省（区、市）城市生活污水集中收集率超过70%；黑龙江、云南、青海、重庆、辽宁、安徽、福建、湖南、海南、湖北、贵州、广西、四川13个省（区、市）和新疆兵团在50%—70%之间；江西和西藏2个省（区）不足50%。</w:t>
      </w:r>
    </w:p>
    <w:p>
      <w:pPr>
        <w:numPr>
          <w:ilvl w:val="0"/>
          <w:numId w:val="0"/>
        </w:numPr>
        <w:rPr>
          <w:rFonts w:hint="default"/>
          <w:lang w:val="en-US" w:eastAsia="zh-CN"/>
        </w:rPr>
      </w:pPr>
      <w:r>
        <w:drawing>
          <wp:inline distT="0" distB="0" distL="114300" distR="114300">
            <wp:extent cx="5760085" cy="1854200"/>
            <wp:effectExtent l="0" t="0" r="0" b="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30" w:name="_Toc23592"/>
      <w:r>
        <w:rPr>
          <w:rFonts w:hint="eastAsia" w:ascii="楷体" w:hAnsi="楷体" w:eastAsia="楷体" w:cs="楷体"/>
          <w:sz w:val="32"/>
          <w:szCs w:val="40"/>
          <w:lang w:val="en-US" w:eastAsia="zh-CN"/>
        </w:rPr>
        <w:t>（二）城市生活垃圾处理</w:t>
      </w:r>
      <w:bookmarkEnd w:id="30"/>
    </w:p>
    <w:p>
      <w:pPr>
        <w:numPr>
          <w:ilvl w:val="0"/>
          <w:numId w:val="0"/>
        </w:numPr>
        <w:ind w:firstLine="640" w:firstLineChars="200"/>
      </w:pPr>
      <w:r>
        <w:rPr>
          <w:rFonts w:hint="eastAsia" w:ascii="仿宋_GB2312" w:hAnsi="仿宋_GB2312" w:eastAsia="仿宋_GB2312" w:cs="仿宋_GB2312"/>
          <w:sz w:val="32"/>
          <w:szCs w:val="40"/>
          <w:u w:val="none"/>
          <w:lang w:val="en-US" w:eastAsia="zh-CN"/>
        </w:rPr>
        <w:t>2022年，全国城市生活垃圾无害化处理率99.90%，比上年增加0.02个百分点；生活垃圾无害化处理能力110.94万吨/日，同比增长4.95%，其中，焚烧处理能力占比为72.53%。</w:t>
      </w:r>
    </w:p>
    <w:p>
      <w:pPr>
        <w:numPr>
          <w:ilvl w:val="0"/>
          <w:numId w:val="0"/>
        </w:numPr>
        <w:jc w:val="center"/>
      </w:pPr>
      <w:r>
        <w:drawing>
          <wp:inline distT="0" distB="0" distL="114300" distR="114300">
            <wp:extent cx="4489450" cy="1767840"/>
            <wp:effectExtent l="0" t="0" r="0" b="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pPr>
        <w:numPr>
          <w:ilvl w:val="0"/>
          <w:numId w:val="0"/>
        </w:numPr>
        <w:jc w:val="center"/>
      </w:pPr>
      <w:r>
        <w:drawing>
          <wp:inline distT="0" distB="0" distL="114300" distR="114300">
            <wp:extent cx="5076190" cy="1997710"/>
            <wp:effectExtent l="0" t="0" r="0" b="0"/>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广东、浙江、江苏和山东4个省份城市生活垃圾无害化处理能力超过7万吨/日；河南、四川、湖北、辽宁、湖南、河北、上海、安徽、陕西、北京、福建、广西、重庆、贵州、江西、黑龙江、吉林、山西、天津、云南、海南、内蒙古、新疆和甘肃24个省（区、市）在1—5万吨/日之间；宁夏、西藏、青海3个省（区）和新疆兵团低于1万吨/日。</w:t>
      </w:r>
    </w:p>
    <w:p>
      <w:pPr>
        <w:numPr>
          <w:ilvl w:val="0"/>
          <w:numId w:val="0"/>
        </w:numPr>
      </w:pPr>
      <w:r>
        <w:drawing>
          <wp:inline distT="0" distB="0" distL="114300" distR="114300">
            <wp:extent cx="5581650" cy="1666875"/>
            <wp:effectExtent l="0" t="0" r="0" b="0"/>
            <wp:docPr id="1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天津、江西、海南、浙江、河北、河南、福建、江苏、四川、山东、云南、安徽、湖北、广东、山西、宁夏、贵州、重庆、广西、上海、甘肃和辽宁22个省（区、市）城市生活垃圾焚烧处理能力占比超过60%；黑龙江、湖南、吉林、北京、陕西、新疆和内蒙古7个省（区、市）在40%—60%之间；西藏、青海2个省（区）和新疆兵团不足40%。</w:t>
      </w:r>
    </w:p>
    <w:p>
      <w:pPr>
        <w:numPr>
          <w:ilvl w:val="0"/>
          <w:numId w:val="0"/>
        </w:numPr>
        <w:rPr>
          <w:rFonts w:hint="eastAsia"/>
          <w:lang w:val="en-US" w:eastAsia="zh-CN"/>
        </w:rPr>
      </w:pPr>
      <w:r>
        <w:drawing>
          <wp:inline distT="0" distB="0" distL="114300" distR="114300">
            <wp:extent cx="5700395" cy="1965960"/>
            <wp:effectExtent l="0" t="0" r="0" b="0"/>
            <wp:docPr id="1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0"/>
        <w:rPr>
          <w:rFonts w:hint="eastAsia" w:ascii="黑体" w:hAnsi="黑体" w:eastAsia="黑体" w:cs="黑体"/>
          <w:sz w:val="32"/>
          <w:szCs w:val="32"/>
          <w:lang w:val="en-US" w:eastAsia="zh-CN"/>
        </w:rPr>
      </w:pPr>
      <w:bookmarkStart w:id="31" w:name="_Toc27661"/>
      <w:bookmarkStart w:id="32" w:name="_Toc3010"/>
      <w:r>
        <w:rPr>
          <w:rFonts w:hint="eastAsia" w:ascii="黑体" w:hAnsi="黑体" w:eastAsia="黑体" w:cs="黑体"/>
          <w:sz w:val="32"/>
          <w:szCs w:val="32"/>
          <w:lang w:val="en-US" w:eastAsia="zh-CN"/>
        </w:rPr>
        <w:t>六、城市绿色生态方面</w:t>
      </w:r>
      <w:bookmarkEnd w:id="31"/>
      <w:bookmarkEnd w:id="32"/>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40"/>
          <w:lang w:val="en-US" w:eastAsia="zh-CN"/>
        </w:rPr>
      </w:pPr>
      <w:bookmarkStart w:id="33" w:name="_Toc24547"/>
      <w:bookmarkStart w:id="34" w:name="_Toc6009"/>
      <w:r>
        <w:rPr>
          <w:rFonts w:hint="eastAsia" w:ascii="楷体" w:hAnsi="楷体" w:eastAsia="楷体" w:cs="楷体"/>
          <w:sz w:val="32"/>
          <w:szCs w:val="40"/>
          <w:lang w:val="en-US" w:eastAsia="zh-CN"/>
        </w:rPr>
        <w:t>（一）城市建成区绿地面积</w:t>
      </w:r>
      <w:bookmarkEnd w:id="33"/>
      <w:bookmarkEnd w:id="34"/>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2022年年末，全国城市建成区绿地面积257.97万公顷，同比增长3.50%。</w:t>
      </w:r>
    </w:p>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40"/>
          <w:u w:val="none"/>
          <w:lang w:val="en-US" w:eastAsia="zh-CN"/>
        </w:rPr>
      </w:pPr>
      <w:r>
        <w:drawing>
          <wp:inline distT="0" distB="0" distL="114300" distR="114300">
            <wp:extent cx="4867275" cy="2109470"/>
            <wp:effectExtent l="0" t="0" r="0" b="0"/>
            <wp:docPr id="8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广东和山东2个省份城市建成区绿地面积超过20万公顷；江苏、四川、浙江、河南、湖北、辽宁和安徽7个省份超过10万公顷；北京、河北、湖南、江西、福建、重庆、广西、黑龙江、吉林、陕西、新疆、山西和云南13个省（区、市）超过5万公顷；内蒙古、贵州、上海、天津、甘肃、宁夏、海南、青海、西藏9个省（区、市）和新疆兵团不足5万公顷。</w:t>
      </w:r>
    </w:p>
    <w:p>
      <w:pPr>
        <w:numPr>
          <w:ilvl w:val="0"/>
          <w:numId w:val="0"/>
        </w:numPr>
        <w:jc w:val="center"/>
        <w:rPr>
          <w:rFonts w:hint="eastAsia" w:ascii="仿宋_GB2312" w:hAnsi="仿宋_GB2312" w:eastAsia="仿宋_GB2312" w:cs="仿宋_GB2312"/>
          <w:sz w:val="32"/>
          <w:szCs w:val="40"/>
          <w:u w:val="none"/>
          <w:lang w:val="en-US" w:eastAsia="zh-CN"/>
        </w:rPr>
      </w:pPr>
      <w:r>
        <w:drawing>
          <wp:inline distT="0" distB="0" distL="114300" distR="114300">
            <wp:extent cx="5271135" cy="2063115"/>
            <wp:effectExtent l="0" t="0" r="0" b="0"/>
            <wp:docPr id="4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35" w:name="_Toc23089"/>
      <w:bookmarkStart w:id="36" w:name="_Toc7535"/>
      <w:r>
        <w:rPr>
          <w:rFonts w:hint="eastAsia" w:ascii="楷体" w:hAnsi="楷体" w:eastAsia="楷体" w:cs="楷体"/>
          <w:sz w:val="32"/>
          <w:szCs w:val="40"/>
          <w:lang w:val="en-US" w:eastAsia="zh-CN"/>
        </w:rPr>
        <w:t>（二）城市建成区绿地率</w:t>
      </w:r>
      <w:bookmarkEnd w:id="35"/>
      <w:bookmarkEnd w:id="36"/>
    </w:p>
    <w:p>
      <w:p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2022年，全国城市建成区绿地率39.29%，比上年增加0.59个百分点。</w:t>
      </w:r>
    </w:p>
    <w:p>
      <w:pPr>
        <w:numPr>
          <w:ilvl w:val="0"/>
          <w:numId w:val="0"/>
        </w:numPr>
        <w:jc w:val="center"/>
      </w:pPr>
      <w:r>
        <w:drawing>
          <wp:inline distT="0" distB="0" distL="114300" distR="114300">
            <wp:extent cx="4652010" cy="1800225"/>
            <wp:effectExtent l="0" t="0" r="0" b="0"/>
            <wp:docPr id="8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北京、江西、重庆、安徽、福建、江苏、宁夏、广东、贵州、山西、河北11个省（区、市）和新疆兵团城市建成区绿地率超过40%；山东、云南、海南、湖北、内蒙古、吉林、湖南、辽宁、四川、西藏、陕西、浙江、新疆、上海、广西、河南和天津17个省（区、市）在35%—40%；黑龙江、青海和甘肃3个省份低于35%。</w:t>
      </w:r>
    </w:p>
    <w:p>
      <w:pPr>
        <w:numPr>
          <w:ilvl w:val="0"/>
          <w:numId w:val="0"/>
        </w:numPr>
        <w:rPr>
          <w:rFonts w:hint="default"/>
          <w:lang w:val="en-US" w:eastAsia="zh-CN"/>
        </w:rPr>
      </w:pPr>
      <w:r>
        <w:drawing>
          <wp:inline distT="0" distB="0" distL="114300" distR="114300">
            <wp:extent cx="5271135" cy="2120265"/>
            <wp:effectExtent l="0" t="0" r="0" b="0"/>
            <wp:docPr id="4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40"/>
          <w:u w:val="single"/>
          <w:lang w:val="en-US" w:eastAsia="zh-CN"/>
        </w:rPr>
      </w:pPr>
      <w:bookmarkStart w:id="37" w:name="_Toc26153"/>
      <w:bookmarkStart w:id="38" w:name="_Toc30788"/>
      <w:r>
        <w:rPr>
          <w:rFonts w:hint="eastAsia" w:ascii="楷体" w:hAnsi="楷体" w:eastAsia="楷体" w:cs="楷体"/>
          <w:sz w:val="32"/>
          <w:szCs w:val="40"/>
          <w:lang w:val="en-US" w:eastAsia="zh-CN"/>
        </w:rPr>
        <w:t>（三）城市人均公园绿地面积</w:t>
      </w:r>
      <w:bookmarkEnd w:id="37"/>
      <w:bookmarkEnd w:id="38"/>
    </w:p>
    <w:p>
      <w:p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2022年，全国城市人均公园绿地面积15.29平方米，比上年增加0.42平方米。</w:t>
      </w:r>
    </w:p>
    <w:p>
      <w:pPr>
        <w:numPr>
          <w:ilvl w:val="0"/>
          <w:numId w:val="0"/>
        </w:numPr>
        <w:jc w:val="center"/>
        <w:rPr>
          <w:rFonts w:hint="eastAsia" w:ascii="仿宋_GB2312" w:hAnsi="仿宋_GB2312" w:eastAsia="仿宋_GB2312" w:cs="仿宋_GB2312"/>
          <w:sz w:val="32"/>
          <w:szCs w:val="40"/>
          <w:u w:val="single"/>
          <w:lang w:val="en-US" w:eastAsia="zh-CN"/>
        </w:rPr>
      </w:pPr>
      <w:r>
        <w:drawing>
          <wp:inline distT="0" distB="0" distL="114300" distR="114300">
            <wp:extent cx="4652010" cy="1800225"/>
            <wp:effectExtent l="0" t="0" r="0" b="0"/>
            <wp:docPr id="8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分省份看，宁夏、内蒙古、山东、广东、重庆、江西、安徽、北京、贵州、甘肃、西藏、江苏、河南、湖北、河北和福建16个省（区、市）和新疆兵团城市人均公园绿地面积超过15平方米；新疆、吉林、黑龙江、四川、云南、浙江、山西、辽宁、青海、陕西、湖南、海南和广西13个省（区）介于11—15平方米；天津和上海低于10平方米。</w:t>
      </w:r>
    </w:p>
    <w:p>
      <w:pPr>
        <w:numPr>
          <w:ilvl w:val="0"/>
          <w:numId w:val="0"/>
        </w:numPr>
      </w:pPr>
      <w:r>
        <w:drawing>
          <wp:inline distT="0" distB="0" distL="114300" distR="114300">
            <wp:extent cx="5271135" cy="1862455"/>
            <wp:effectExtent l="0" t="0" r="0" b="0"/>
            <wp:docPr id="4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pStyle w:val="7"/>
        <w:keepNext w:val="0"/>
        <w:keepLines w:val="0"/>
        <w:widowControl/>
        <w:suppressLineNumbers w:val="0"/>
        <w:shd w:val="clear" w:fill="FFFFFF"/>
        <w:spacing w:before="180" w:beforeAutospacing="0" w:line="360" w:lineRule="atLeast"/>
        <w:ind w:left="0" w:firstLine="482" w:firstLineChars="200"/>
        <w:rPr>
          <w:rFonts w:hint="eastAsia" w:ascii="楷体" w:hAnsi="楷体" w:eastAsia="楷体" w:cs="楷体"/>
          <w:b/>
          <w:bCs/>
          <w:color w:val="333333"/>
          <w:shd w:val="clear" w:fill="FFFFFF"/>
          <w:lang w:eastAsia="zh-CN"/>
        </w:rPr>
      </w:pPr>
    </w:p>
    <w:p>
      <w:pPr>
        <w:pStyle w:val="7"/>
        <w:keepNext w:val="0"/>
        <w:keepLines w:val="0"/>
        <w:widowControl/>
        <w:suppressLineNumbers w:val="0"/>
        <w:shd w:val="clear" w:fill="FFFFFF"/>
        <w:spacing w:before="180" w:beforeAutospacing="0" w:line="360" w:lineRule="atLeast"/>
        <w:ind w:left="0" w:firstLine="482" w:firstLineChars="200"/>
        <w:rPr>
          <w:rFonts w:hint="eastAsia" w:ascii="楷体" w:hAnsi="楷体" w:eastAsia="楷体" w:cs="楷体"/>
          <w:b/>
          <w:bCs/>
          <w:color w:val="333333"/>
          <w:shd w:val="clear" w:fill="FFFFFF"/>
          <w:lang w:val="en-US"/>
        </w:rPr>
      </w:pPr>
      <w:r>
        <w:rPr>
          <w:rFonts w:hint="eastAsia" w:ascii="楷体" w:hAnsi="楷体" w:eastAsia="楷体" w:cs="楷体"/>
          <w:b/>
          <w:bCs/>
          <w:color w:val="333333"/>
          <w:shd w:val="clear" w:fill="FFFFFF"/>
          <w:lang w:eastAsia="zh-CN"/>
        </w:rPr>
        <w:t>注释：</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eastAsia="zh-CN"/>
        </w:rPr>
        <w:t>香港、澳门特别行政区及台湾省统计数据未包括在本公报内。</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2.</w:t>
      </w:r>
      <w:r>
        <w:rPr>
          <w:rFonts w:hint="eastAsia" w:ascii="楷体" w:hAnsi="楷体" w:eastAsia="楷体" w:cs="楷体"/>
          <w:color w:val="000000"/>
          <w:shd w:val="clear" w:fill="FFFFFF"/>
          <w:lang w:eastAsia="zh-CN"/>
        </w:rPr>
        <w:t>本公报统计范围为设市的城区：</w:t>
      </w:r>
      <w:r>
        <w:rPr>
          <w:rFonts w:hint="eastAsia" w:ascii="楷体" w:hAnsi="楷体" w:eastAsia="楷体" w:cs="楷体"/>
          <w:color w:val="000000"/>
          <w:shd w:val="clear" w:fill="FFFFFF"/>
          <w:lang w:val="en-US" w:eastAsia="zh-CN"/>
        </w:rPr>
        <w:t>（</w:t>
      </w: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w:t>
      </w:r>
      <w:r>
        <w:rPr>
          <w:rFonts w:hint="eastAsia" w:ascii="楷体" w:hAnsi="楷体" w:eastAsia="楷体" w:cs="楷体"/>
          <w:color w:val="000000"/>
          <w:shd w:val="clear" w:fill="FFFFFF"/>
          <w:lang w:eastAsia="zh-CN"/>
        </w:rPr>
        <w:t>街道办事处所辖地域；</w:t>
      </w:r>
      <w:r>
        <w:rPr>
          <w:rFonts w:hint="eastAsia" w:ascii="楷体" w:hAnsi="楷体" w:eastAsia="楷体" w:cs="楷体"/>
          <w:color w:val="000000"/>
          <w:shd w:val="clear" w:fill="FFFFFF"/>
          <w:lang w:val="en-US" w:eastAsia="zh-CN"/>
        </w:rPr>
        <w:t>（</w:t>
      </w:r>
      <w:r>
        <w:rPr>
          <w:rFonts w:hint="eastAsia" w:ascii="楷体" w:hAnsi="楷体" w:eastAsia="楷体" w:cs="楷体"/>
          <w:color w:val="000000"/>
          <w:shd w:val="clear" w:fill="FFFFFF"/>
          <w:lang w:val="en-US"/>
        </w:rPr>
        <w:t>2</w:t>
      </w:r>
      <w:r>
        <w:rPr>
          <w:rFonts w:hint="eastAsia" w:ascii="楷体" w:hAnsi="楷体" w:eastAsia="楷体" w:cs="楷体"/>
          <w:color w:val="000000"/>
          <w:shd w:val="clear" w:fill="FFFFFF"/>
          <w:lang w:val="en-US" w:eastAsia="zh-CN"/>
        </w:rPr>
        <w:t>）</w:t>
      </w:r>
      <w:r>
        <w:rPr>
          <w:rFonts w:hint="eastAsia" w:ascii="楷体" w:hAnsi="楷体" w:eastAsia="楷体" w:cs="楷体"/>
          <w:color w:val="000000"/>
          <w:shd w:val="clear" w:fill="FFFFFF"/>
          <w:lang w:eastAsia="zh-CN"/>
        </w:rPr>
        <w:t>城市公共设施、居住设施和市政公用设施等连接到的其他镇（乡）地域；（</w:t>
      </w:r>
      <w:r>
        <w:rPr>
          <w:rFonts w:hint="eastAsia" w:ascii="楷体" w:hAnsi="楷体" w:eastAsia="楷体" w:cs="楷体"/>
          <w:color w:val="000000"/>
          <w:shd w:val="clear" w:fill="FFFFFF"/>
          <w:lang w:val="en-US"/>
        </w:rPr>
        <w:t>3</w:t>
      </w:r>
      <w:r>
        <w:rPr>
          <w:rFonts w:hint="eastAsia" w:ascii="楷体" w:hAnsi="楷体" w:eastAsia="楷体" w:cs="楷体"/>
          <w:color w:val="000000"/>
          <w:shd w:val="clear" w:fill="FFFFFF"/>
          <w:lang w:eastAsia="zh-CN"/>
        </w:rPr>
        <w:t>）常住人口在</w:t>
      </w:r>
      <w:r>
        <w:rPr>
          <w:rFonts w:hint="eastAsia" w:ascii="楷体" w:hAnsi="楷体" w:eastAsia="楷体" w:cs="楷体"/>
          <w:color w:val="000000"/>
          <w:shd w:val="clear" w:fill="FFFFFF"/>
          <w:lang w:val="en-US"/>
        </w:rPr>
        <w:t>3000</w:t>
      </w:r>
      <w:r>
        <w:rPr>
          <w:rFonts w:hint="eastAsia" w:ascii="楷体" w:hAnsi="楷体" w:eastAsia="楷体" w:cs="楷体"/>
          <w:color w:val="000000"/>
          <w:shd w:val="clear" w:fill="FFFFFF"/>
          <w:lang w:eastAsia="zh-CN"/>
        </w:rPr>
        <w:t>人以上独立的工矿区、开发区、科研单位、大专院校等特殊区域。</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3</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val="en-US" w:eastAsia="zh-CN"/>
        </w:rPr>
        <w:t>本公报</w:t>
      </w:r>
      <w:r>
        <w:rPr>
          <w:rFonts w:hint="eastAsia" w:ascii="楷体" w:hAnsi="楷体" w:eastAsia="楷体" w:cs="楷体"/>
          <w:color w:val="000000"/>
          <w:shd w:val="clear" w:fill="FFFFFF"/>
          <w:lang w:eastAsia="zh-CN"/>
        </w:rPr>
        <w:t>城区人口包含城区户籍人口和城区暂住人口。</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eastAsia="zh-CN"/>
        </w:rPr>
      </w:pPr>
      <w:r>
        <w:rPr>
          <w:rFonts w:hint="eastAsia" w:ascii="楷体" w:hAnsi="楷体" w:eastAsia="楷体" w:cs="楷体"/>
          <w:color w:val="000000"/>
          <w:shd w:val="clear" w:fill="FFFFFF"/>
          <w:lang w:val="en-US" w:eastAsia="zh-CN"/>
        </w:rPr>
        <w:t>4</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本公报中所有人均指标、普及率指标均以户籍人口与暂住人口合计为分母计算。</w:t>
      </w:r>
    </w:p>
    <w:p>
      <w:pPr>
        <w:pStyle w:val="7"/>
        <w:keepNext w:val="0"/>
        <w:keepLines w:val="0"/>
        <w:widowControl/>
        <w:suppressLineNumbers w:val="0"/>
        <w:shd w:val="clear" w:fill="FFFFFF"/>
        <w:snapToGrid w:val="0"/>
        <w:spacing w:before="120" w:beforeAutospacing="0"/>
        <w:ind w:left="0" w:firstLine="480" w:firstLineChars="200"/>
        <w:rPr>
          <w:rFonts w:hint="default" w:ascii="楷体" w:hAnsi="楷体" w:eastAsia="楷体" w:cs="楷体"/>
          <w:color w:val="000000"/>
          <w:shd w:val="clear" w:fill="FFFFFF"/>
          <w:lang w:val="en-US" w:eastAsia="zh-CN"/>
        </w:rPr>
      </w:pPr>
      <w:r>
        <w:rPr>
          <w:rFonts w:hint="eastAsia" w:ascii="楷体" w:hAnsi="楷体" w:eastAsia="楷体" w:cs="楷体"/>
          <w:color w:val="000000"/>
          <w:shd w:val="clear" w:fill="FFFFFF"/>
          <w:lang w:val="en-US" w:eastAsia="zh-CN"/>
        </w:rPr>
        <w:t>5.本公报中全国城市建成区面积不含北京市。</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6</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本公报中全国市政公用设施固定资产投资</w:t>
      </w:r>
      <w:r>
        <w:rPr>
          <w:rFonts w:hint="eastAsia" w:ascii="楷体" w:hAnsi="楷体" w:eastAsia="楷体" w:cs="楷体"/>
          <w:color w:val="000000"/>
          <w:shd w:val="clear" w:fill="FFFFFF"/>
          <w:lang w:val="en-US" w:eastAsia="zh-CN"/>
        </w:rPr>
        <w:t>包含城市和县城。</w:t>
      </w:r>
      <w:r>
        <w:rPr>
          <w:rFonts w:hint="eastAsia" w:ascii="楷体" w:hAnsi="楷体" w:eastAsia="楷体" w:cs="楷体"/>
          <w:color w:val="000000"/>
          <w:shd w:val="clear" w:fill="FFFFFF"/>
          <w:lang w:eastAsia="zh-CN"/>
        </w:rPr>
        <w:t>统计口径为计划总投资在</w:t>
      </w:r>
      <w:r>
        <w:rPr>
          <w:rFonts w:hint="eastAsia" w:ascii="楷体" w:hAnsi="楷体" w:eastAsia="楷体" w:cs="楷体"/>
          <w:color w:val="000000"/>
          <w:shd w:val="clear" w:fill="FFFFFF"/>
          <w:lang w:val="en-US"/>
        </w:rPr>
        <w:t>5</w:t>
      </w:r>
      <w:r>
        <w:rPr>
          <w:rFonts w:hint="eastAsia" w:ascii="楷体" w:hAnsi="楷体" w:eastAsia="楷体" w:cs="楷体"/>
          <w:color w:val="000000"/>
          <w:shd w:val="clear" w:fill="FFFFFF"/>
          <w:lang w:eastAsia="zh-CN"/>
        </w:rPr>
        <w:t>万元以上的市政公用设施项目，不含住宅及其他方面的投资。</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7</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供水综合生产能力是指按供水设施取水、净化、送水、出厂输水干管等环节设计能力计算的综合生产能力。</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8</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供水总量是指报告期供水企业（单位）供出的全部水量。包括有效供水量和漏损水量。</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9</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供气管道长度是指报告期末从气源厂压缩机的出口或门站出口至各类用户引入管之间的全部已经通气投入使用的管道长度。</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0</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供气总量是指报告期燃气企业（单位）向用户供应的燃气数量。包括销售量和损失量。</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1</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供热能力是指供热企业（单位）向城市热用户输送热能的设计能力。</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2</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供热总量是指在报告期供热企业（单位）向城市热用户输送全部蒸汽和热水的总热量。</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3</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供热管道长度是指从各类热源到热用户建筑物接入口之间的全部蒸汽和热水的管道长度。不包括各类热源厂内部的管道长度。</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4</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城市轨道交通是指采用轨道结构进行承重和导向的车辆运输系统，依据城市交通总体规划的要求，设置全封闭或部分封闭的专用轨道线路，以列车或单车形式，运送相当规模客流量的公共交通方式。包括地铁系统、轻轨系统、单轨系统、有轨电车、磁浮系统、自动导向轨道系统和市域快速轨道系统。</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5</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城市道路是指城市供车辆、行人通行的，具备一定技术条件的道路、桥梁、隧道及其附属设施。城市道路由车行道和人行道等组成。在统计时只统计路面宽度在</w:t>
      </w:r>
      <w:r>
        <w:rPr>
          <w:rFonts w:hint="eastAsia" w:ascii="楷体" w:hAnsi="楷体" w:eastAsia="楷体" w:cs="楷体"/>
          <w:color w:val="000000"/>
          <w:shd w:val="clear" w:fill="FFFFFF"/>
          <w:lang w:val="en-US"/>
        </w:rPr>
        <w:t>3.5</w:t>
      </w:r>
      <w:r>
        <w:rPr>
          <w:rFonts w:hint="eastAsia" w:ascii="楷体" w:hAnsi="楷体" w:eastAsia="楷体" w:cs="楷体"/>
          <w:color w:val="000000"/>
          <w:shd w:val="clear" w:fill="FFFFFF"/>
          <w:lang w:eastAsia="zh-CN"/>
        </w:rPr>
        <w:t>米（含</w:t>
      </w:r>
      <w:r>
        <w:rPr>
          <w:rFonts w:hint="eastAsia" w:ascii="楷体" w:hAnsi="楷体" w:eastAsia="楷体" w:cs="楷体"/>
          <w:color w:val="000000"/>
          <w:shd w:val="clear" w:fill="FFFFFF"/>
          <w:lang w:val="en-US"/>
        </w:rPr>
        <w:t>3.5</w:t>
      </w:r>
      <w:r>
        <w:rPr>
          <w:rFonts w:hint="eastAsia" w:ascii="楷体" w:hAnsi="楷体" w:eastAsia="楷体" w:cs="楷体"/>
          <w:color w:val="000000"/>
          <w:shd w:val="clear" w:fill="FFFFFF"/>
          <w:lang w:eastAsia="zh-CN"/>
        </w:rPr>
        <w:t>米）以上的各种铺装道路，包括开放型工业区和住宅区道路在内。</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6</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排水管道长度是指所有市政排水总管、干管、支管、检查井及连接井进出口等长度之和。</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7</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污水处理</w:t>
      </w:r>
      <w:r>
        <w:rPr>
          <w:rFonts w:hint="eastAsia" w:ascii="楷体" w:hAnsi="楷体" w:eastAsia="楷体" w:cs="楷体"/>
          <w:color w:val="000000"/>
          <w:shd w:val="clear" w:fill="FFFFFF"/>
          <w:lang w:val="en-US" w:eastAsia="zh-CN"/>
        </w:rPr>
        <w:t>厂处理</w:t>
      </w:r>
      <w:r>
        <w:rPr>
          <w:rFonts w:hint="eastAsia" w:ascii="楷体" w:hAnsi="楷体" w:eastAsia="楷体" w:cs="楷体"/>
          <w:color w:val="000000"/>
          <w:shd w:val="clear" w:fill="FFFFFF"/>
          <w:lang w:eastAsia="zh-CN"/>
        </w:rPr>
        <w:t>能力是指污水处理厂每昼夜处理污水量的设计能力。</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18</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生活垃圾无害化处理能力是指按工艺设计每天所能处理生活垃圾的数量。</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19</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生活垃圾焚烧处理能力指生活垃圾焚烧厂按工艺设计，每天所能处理生活垃圾的数量。</w:t>
      </w:r>
    </w:p>
    <w:p>
      <w:pPr>
        <w:pStyle w:val="7"/>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2</w:t>
      </w:r>
      <w:r>
        <w:rPr>
          <w:rFonts w:hint="eastAsia" w:ascii="楷体" w:hAnsi="楷体" w:eastAsia="楷体" w:cs="楷体"/>
          <w:color w:val="000000"/>
          <w:shd w:val="clear" w:fill="FFFFFF"/>
          <w:lang w:val="en-US" w:eastAsia="zh-CN"/>
        </w:rPr>
        <w:t>0</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绿地面积是指报告期末用作园林和绿化的各种绿地面积。包括公园绿地、防护绿地、广场用地、附属绿地和位于建成区范围内的区域绿地面积。</w:t>
      </w:r>
    </w:p>
    <w:p>
      <w:pPr>
        <w:keepNext w:val="0"/>
        <w:keepLines w:val="0"/>
        <w:widowControl w:val="0"/>
        <w:suppressLineNumbers w:val="0"/>
        <w:spacing w:before="0" w:beforeAutospacing="0" w:after="0" w:afterAutospacing="0"/>
        <w:ind w:left="0" w:right="0"/>
        <w:jc w:val="both"/>
        <w:rPr>
          <w:lang w:val="en-US"/>
        </w:rPr>
      </w:pPr>
    </w:p>
    <w:p>
      <w:pPr>
        <w:numPr>
          <w:ilvl w:val="0"/>
          <w:numId w:val="0"/>
        </w:numPr>
        <w:rPr>
          <w:rFonts w:hint="eastAsia" w:ascii="楷体" w:hAnsi="楷体" w:eastAsia="楷体" w:cs="楷体"/>
          <w:lang w:val="en-US" w:eastAsia="zh-CN"/>
        </w:rPr>
      </w:pPr>
    </w:p>
    <w:p>
      <w:pPr>
        <w:numPr>
          <w:ilvl w:val="0"/>
          <w:numId w:val="0"/>
        </w:numPr>
        <w:rPr>
          <w:rFonts w:hint="eastAsia" w:ascii="楷体" w:hAnsi="楷体" w:eastAsia="楷体" w:cs="楷体"/>
          <w:sz w:val="32"/>
          <w:szCs w:val="40"/>
          <w:lang w:val="en-US" w:eastAsia="zh-CN"/>
        </w:rPr>
      </w:pPr>
    </w:p>
    <w:p>
      <w:pPr>
        <w:numPr>
          <w:ilvl w:val="0"/>
          <w:numId w:val="0"/>
        </w:numPr>
        <w:rPr>
          <w:rFonts w:hint="default"/>
          <w:lang w:val="en-US" w:eastAsia="zh-CN"/>
        </w:rPr>
      </w:pPr>
    </w:p>
    <w:p>
      <w:pPr>
        <w:numPr>
          <w:ilvl w:val="0"/>
          <w:numId w:val="0"/>
        </w:numPr>
        <w:ind w:firstLine="640" w:firstLineChars="200"/>
        <w:rPr>
          <w:rFonts w:hint="eastAsia" w:ascii="仿宋_GB2312" w:hAnsi="仿宋_GB2312" w:eastAsia="仿宋_GB2312" w:cs="仿宋_GB2312"/>
          <w:sz w:val="32"/>
          <w:szCs w:val="40"/>
          <w:u w:val="none"/>
          <w:lang w:val="en-US" w:eastAsia="zh-CN"/>
        </w:rPr>
      </w:pPr>
    </w:p>
    <w:p>
      <w:pPr>
        <w:numPr>
          <w:ilvl w:val="0"/>
          <w:numId w:val="0"/>
        </w:numPr>
      </w:pPr>
    </w:p>
    <w:p>
      <w:pPr>
        <w:numPr>
          <w:ilvl w:val="0"/>
          <w:numId w:val="0"/>
        </w:numPr>
        <w:ind w:firstLine="420" w:firstLineChars="200"/>
        <w:rPr>
          <w:rFonts w:hint="default"/>
          <w:lang w:val="en-US" w:eastAsia="zh-CN"/>
        </w:rPr>
      </w:pPr>
    </w:p>
    <w:p>
      <w:pPr>
        <w:numPr>
          <w:ilvl w:val="0"/>
          <w:numId w:val="0"/>
        </w:numPr>
        <w:rPr>
          <w:rFonts w:hint="default"/>
          <w:lang w:val="en-US" w:eastAsia="zh-CN"/>
        </w:rPr>
      </w:pPr>
    </w:p>
    <w:p>
      <w:pPr>
        <w:numPr>
          <w:ilvl w:val="0"/>
          <w:numId w:val="0"/>
        </w:numPr>
        <w:ind w:firstLine="420" w:firstLineChars="200"/>
      </w:pPr>
    </w:p>
    <w:p>
      <w:pPr>
        <w:numPr>
          <w:ilvl w:val="0"/>
          <w:numId w:val="0"/>
        </w:numPr>
        <w:ind w:firstLine="420" w:firstLineChars="200"/>
        <w:rPr>
          <w:rFonts w:hint="default"/>
          <w:lang w:val="en-US" w:eastAsia="zh-CN"/>
        </w:rPr>
      </w:pPr>
    </w:p>
    <w:p>
      <w:pPr>
        <w:numPr>
          <w:ilvl w:val="0"/>
          <w:numId w:val="0"/>
        </w:numPr>
        <w:ind w:firstLine="420" w:firstLineChars="200"/>
        <w:rPr>
          <w:rFonts w:hint="default"/>
          <w:lang w:val="en-US" w:eastAsia="zh-CN"/>
        </w:rPr>
      </w:pPr>
    </w:p>
    <w:p>
      <w:pPr>
        <w:numPr>
          <w:ilvl w:val="0"/>
          <w:numId w:val="0"/>
        </w:numPr>
        <w:ind w:firstLine="420" w:firstLineChars="200"/>
      </w:pPr>
    </w:p>
    <w:p>
      <w:pPr>
        <w:numPr>
          <w:ilvl w:val="0"/>
          <w:numId w:val="0"/>
        </w:numPr>
        <w:ind w:firstLine="420" w:firstLineChars="200"/>
        <w:rPr>
          <w:rFonts w:hint="eastAsia"/>
          <w:lang w:val="en-US" w:eastAsia="zh-CN"/>
        </w:rPr>
      </w:pPr>
    </w:p>
    <w:p>
      <w:pPr>
        <w:numPr>
          <w:ilvl w:val="0"/>
          <w:numId w:val="0"/>
        </w:numPr>
        <w:ind w:firstLine="420" w:firstLineChars="200"/>
        <w:rPr>
          <w:rFonts w:hint="default"/>
          <w:lang w:val="en-US" w:eastAsia="zh-CN"/>
        </w:rPr>
      </w:pPr>
    </w:p>
    <w:p>
      <w:pPr>
        <w:numPr>
          <w:ilvl w:val="0"/>
          <w:numId w:val="0"/>
        </w:numPr>
        <w:ind w:firstLine="420" w:firstLineChars="200"/>
      </w:pPr>
    </w:p>
    <w:p>
      <w:pPr>
        <w:numPr>
          <w:ilvl w:val="0"/>
          <w:numId w:val="0"/>
        </w:numPr>
        <w:ind w:firstLine="420" w:firstLineChars="200"/>
        <w:rPr>
          <w:rFonts w:hint="eastAsia"/>
          <w:lang w:val="en-US" w:eastAsia="zh-CN"/>
        </w:rPr>
      </w:pPr>
    </w:p>
    <w:p>
      <w:pPr>
        <w:numPr>
          <w:ilvl w:val="0"/>
          <w:numId w:val="0"/>
        </w:numPr>
      </w:pPr>
    </w:p>
    <w:p>
      <w:pPr>
        <w:numPr>
          <w:ilvl w:val="0"/>
          <w:numId w:val="0"/>
        </w:numPr>
      </w:pPr>
    </w:p>
    <w:p>
      <w:pPr>
        <w:numPr>
          <w:ilvl w:val="0"/>
          <w:numId w:val="0"/>
        </w:numPr>
        <w:ind w:firstLine="420" w:firstLineChars="200"/>
        <w:rPr>
          <w:rFonts w:hint="eastAsia"/>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AAB2A4-2A2A-466D-939F-6C8ECCEF08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8C3F0D47-B135-4FD7-98D7-A5B30CDAA5D6}"/>
  </w:font>
  <w:font w:name="仿宋_GB2312">
    <w:panose1 w:val="02010609030101010101"/>
    <w:charset w:val="86"/>
    <w:family w:val="auto"/>
    <w:pitch w:val="default"/>
    <w:sig w:usb0="00000001" w:usb1="080E0000" w:usb2="00000000" w:usb3="00000000" w:csb0="00040000" w:csb1="00000000"/>
    <w:embedRegular r:id="rId3" w:fontKey="{BEE29F53-C0BF-472A-9DF6-3DB8B17267F6}"/>
  </w:font>
  <w:font w:name="楷体">
    <w:panose1 w:val="02010609060101010101"/>
    <w:charset w:val="86"/>
    <w:family w:val="auto"/>
    <w:pitch w:val="default"/>
    <w:sig w:usb0="800002BF" w:usb1="38CF7CFA" w:usb2="00000016" w:usb3="00000000" w:csb0="00040001" w:csb1="00000000"/>
    <w:embedRegular r:id="rId4" w:fontKey="{BD088E00-2225-45D9-ACD9-979796A9BA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E5ZmMyYzI1Mzg2NjU5MzgwMjM3NWFkODMwMTIifQ=="/>
  </w:docVars>
  <w:rsids>
    <w:rsidRoot w:val="00000000"/>
    <w:rsid w:val="00BE2BB9"/>
    <w:rsid w:val="012B7085"/>
    <w:rsid w:val="01507B82"/>
    <w:rsid w:val="018E53BB"/>
    <w:rsid w:val="01A21D3D"/>
    <w:rsid w:val="027C624F"/>
    <w:rsid w:val="02873BB9"/>
    <w:rsid w:val="02895B83"/>
    <w:rsid w:val="02BC1AB4"/>
    <w:rsid w:val="02FC45A7"/>
    <w:rsid w:val="03101E00"/>
    <w:rsid w:val="031C2553"/>
    <w:rsid w:val="03400B54"/>
    <w:rsid w:val="03646F3D"/>
    <w:rsid w:val="039E740C"/>
    <w:rsid w:val="03C00A66"/>
    <w:rsid w:val="03F4702C"/>
    <w:rsid w:val="04212517"/>
    <w:rsid w:val="0433224A"/>
    <w:rsid w:val="04602913"/>
    <w:rsid w:val="04B52C5F"/>
    <w:rsid w:val="04CC1F50"/>
    <w:rsid w:val="052120A3"/>
    <w:rsid w:val="054144F3"/>
    <w:rsid w:val="05551D4C"/>
    <w:rsid w:val="05614B95"/>
    <w:rsid w:val="058A5E9A"/>
    <w:rsid w:val="05AF76AE"/>
    <w:rsid w:val="05B922DB"/>
    <w:rsid w:val="05E355AA"/>
    <w:rsid w:val="06112117"/>
    <w:rsid w:val="063267C3"/>
    <w:rsid w:val="065D535C"/>
    <w:rsid w:val="068E19BA"/>
    <w:rsid w:val="06D131D5"/>
    <w:rsid w:val="06E4782C"/>
    <w:rsid w:val="07033C76"/>
    <w:rsid w:val="07035F04"/>
    <w:rsid w:val="076D7821"/>
    <w:rsid w:val="0782194D"/>
    <w:rsid w:val="07921036"/>
    <w:rsid w:val="079E5C2C"/>
    <w:rsid w:val="07CF4038"/>
    <w:rsid w:val="082500FC"/>
    <w:rsid w:val="08395955"/>
    <w:rsid w:val="08844E22"/>
    <w:rsid w:val="08964B56"/>
    <w:rsid w:val="08992218"/>
    <w:rsid w:val="08A61E8A"/>
    <w:rsid w:val="08E415BE"/>
    <w:rsid w:val="091F4B4B"/>
    <w:rsid w:val="098D5F59"/>
    <w:rsid w:val="099077F7"/>
    <w:rsid w:val="09A3752A"/>
    <w:rsid w:val="09C12402"/>
    <w:rsid w:val="09C77C21"/>
    <w:rsid w:val="09E638BB"/>
    <w:rsid w:val="0A1E12A6"/>
    <w:rsid w:val="0A1F6165"/>
    <w:rsid w:val="0A232419"/>
    <w:rsid w:val="0A3B59B5"/>
    <w:rsid w:val="0A3E6572"/>
    <w:rsid w:val="0A6842D0"/>
    <w:rsid w:val="0A9450C5"/>
    <w:rsid w:val="0ABF0394"/>
    <w:rsid w:val="0AF65D7F"/>
    <w:rsid w:val="0B116715"/>
    <w:rsid w:val="0B3643CE"/>
    <w:rsid w:val="0B440899"/>
    <w:rsid w:val="0B450AD4"/>
    <w:rsid w:val="0B4512CA"/>
    <w:rsid w:val="0B9F6417"/>
    <w:rsid w:val="0C4A635A"/>
    <w:rsid w:val="0C670CE3"/>
    <w:rsid w:val="0C886F8D"/>
    <w:rsid w:val="0CA737D5"/>
    <w:rsid w:val="0CDA7707"/>
    <w:rsid w:val="0CF86C25"/>
    <w:rsid w:val="0D096E88"/>
    <w:rsid w:val="0D4D5993"/>
    <w:rsid w:val="0D645222"/>
    <w:rsid w:val="0D662D48"/>
    <w:rsid w:val="0DCD726B"/>
    <w:rsid w:val="0E0B1B42"/>
    <w:rsid w:val="0E533D72"/>
    <w:rsid w:val="0E592DE1"/>
    <w:rsid w:val="0ECB5FCD"/>
    <w:rsid w:val="0EE914B1"/>
    <w:rsid w:val="0F0E7B3C"/>
    <w:rsid w:val="0F114F36"/>
    <w:rsid w:val="0F16254C"/>
    <w:rsid w:val="10284177"/>
    <w:rsid w:val="105F5922"/>
    <w:rsid w:val="10710382"/>
    <w:rsid w:val="108D4A90"/>
    <w:rsid w:val="10A51DDA"/>
    <w:rsid w:val="10B47C6B"/>
    <w:rsid w:val="110805BA"/>
    <w:rsid w:val="1111746F"/>
    <w:rsid w:val="111D5E14"/>
    <w:rsid w:val="11210FFD"/>
    <w:rsid w:val="112A0531"/>
    <w:rsid w:val="11943BFC"/>
    <w:rsid w:val="11DD1A47"/>
    <w:rsid w:val="12503FC7"/>
    <w:rsid w:val="128D6FC9"/>
    <w:rsid w:val="12EA441C"/>
    <w:rsid w:val="130C4392"/>
    <w:rsid w:val="1319085D"/>
    <w:rsid w:val="131E2317"/>
    <w:rsid w:val="13277FE5"/>
    <w:rsid w:val="136441CE"/>
    <w:rsid w:val="139F5206"/>
    <w:rsid w:val="13F07810"/>
    <w:rsid w:val="146C4041"/>
    <w:rsid w:val="14ED01F3"/>
    <w:rsid w:val="152D239E"/>
    <w:rsid w:val="156C2EC6"/>
    <w:rsid w:val="15791A87"/>
    <w:rsid w:val="15A93CEF"/>
    <w:rsid w:val="15C37E50"/>
    <w:rsid w:val="15DB629E"/>
    <w:rsid w:val="15E05662"/>
    <w:rsid w:val="161A6DC6"/>
    <w:rsid w:val="16315EBE"/>
    <w:rsid w:val="163210DD"/>
    <w:rsid w:val="164D719B"/>
    <w:rsid w:val="166149F5"/>
    <w:rsid w:val="16677B31"/>
    <w:rsid w:val="16972896"/>
    <w:rsid w:val="1719707D"/>
    <w:rsid w:val="17261EF7"/>
    <w:rsid w:val="17647476"/>
    <w:rsid w:val="17EA2680"/>
    <w:rsid w:val="17FF1CC1"/>
    <w:rsid w:val="181F06C4"/>
    <w:rsid w:val="18245CDA"/>
    <w:rsid w:val="183A3CF4"/>
    <w:rsid w:val="18420856"/>
    <w:rsid w:val="18587969"/>
    <w:rsid w:val="186C142F"/>
    <w:rsid w:val="188D1AD1"/>
    <w:rsid w:val="18C63235"/>
    <w:rsid w:val="18DE232D"/>
    <w:rsid w:val="19573E8D"/>
    <w:rsid w:val="19C01A32"/>
    <w:rsid w:val="19C07C84"/>
    <w:rsid w:val="19EA1AAC"/>
    <w:rsid w:val="19FA2868"/>
    <w:rsid w:val="1A393593"/>
    <w:rsid w:val="1A644AB4"/>
    <w:rsid w:val="1A970CFA"/>
    <w:rsid w:val="1AB64BE3"/>
    <w:rsid w:val="1AE16104"/>
    <w:rsid w:val="1AED4AA9"/>
    <w:rsid w:val="1B090C95"/>
    <w:rsid w:val="1B0F0EC3"/>
    <w:rsid w:val="1B245FF1"/>
    <w:rsid w:val="1B684130"/>
    <w:rsid w:val="1BBE6445"/>
    <w:rsid w:val="1C88109E"/>
    <w:rsid w:val="1C8D02C7"/>
    <w:rsid w:val="1C9225B5"/>
    <w:rsid w:val="1CA53161"/>
    <w:rsid w:val="1CE65C54"/>
    <w:rsid w:val="1CE912A0"/>
    <w:rsid w:val="1D315F33"/>
    <w:rsid w:val="1D5D0A93"/>
    <w:rsid w:val="1D7E40DE"/>
    <w:rsid w:val="1DD43CFE"/>
    <w:rsid w:val="1DE62869"/>
    <w:rsid w:val="1E796654"/>
    <w:rsid w:val="1E870D71"/>
    <w:rsid w:val="1E93334F"/>
    <w:rsid w:val="1EB27513"/>
    <w:rsid w:val="1EDD6BE3"/>
    <w:rsid w:val="1F0E4FEE"/>
    <w:rsid w:val="1F122D30"/>
    <w:rsid w:val="1F1F71FB"/>
    <w:rsid w:val="1F302CD6"/>
    <w:rsid w:val="1F947BE9"/>
    <w:rsid w:val="1F9574BD"/>
    <w:rsid w:val="1FF22B62"/>
    <w:rsid w:val="1FFE5062"/>
    <w:rsid w:val="2045139B"/>
    <w:rsid w:val="214967B1"/>
    <w:rsid w:val="219739C1"/>
    <w:rsid w:val="21D544E9"/>
    <w:rsid w:val="22082B79"/>
    <w:rsid w:val="220F17A9"/>
    <w:rsid w:val="22123047"/>
    <w:rsid w:val="224F1BA5"/>
    <w:rsid w:val="22602004"/>
    <w:rsid w:val="2268710B"/>
    <w:rsid w:val="226D64CF"/>
    <w:rsid w:val="22E83DA8"/>
    <w:rsid w:val="22F10EAE"/>
    <w:rsid w:val="231207FB"/>
    <w:rsid w:val="2331574F"/>
    <w:rsid w:val="234B10F5"/>
    <w:rsid w:val="23812740"/>
    <w:rsid w:val="23965625"/>
    <w:rsid w:val="23A67EEB"/>
    <w:rsid w:val="23E9602A"/>
    <w:rsid w:val="242E2C4F"/>
    <w:rsid w:val="24960973"/>
    <w:rsid w:val="24D665AE"/>
    <w:rsid w:val="24EA3E07"/>
    <w:rsid w:val="25205A7B"/>
    <w:rsid w:val="25627E42"/>
    <w:rsid w:val="25651C90"/>
    <w:rsid w:val="258E0C37"/>
    <w:rsid w:val="25981AB5"/>
    <w:rsid w:val="259A049B"/>
    <w:rsid w:val="25B34B41"/>
    <w:rsid w:val="25D0124F"/>
    <w:rsid w:val="25DA20CE"/>
    <w:rsid w:val="26113A73"/>
    <w:rsid w:val="26445423"/>
    <w:rsid w:val="26543C2E"/>
    <w:rsid w:val="26597496"/>
    <w:rsid w:val="268B047C"/>
    <w:rsid w:val="26A70DF5"/>
    <w:rsid w:val="26EB3E67"/>
    <w:rsid w:val="2705317A"/>
    <w:rsid w:val="273055DD"/>
    <w:rsid w:val="274912B9"/>
    <w:rsid w:val="274E68CF"/>
    <w:rsid w:val="27750300"/>
    <w:rsid w:val="278730C6"/>
    <w:rsid w:val="278B7B24"/>
    <w:rsid w:val="279A1B15"/>
    <w:rsid w:val="27A277B4"/>
    <w:rsid w:val="27AF38A8"/>
    <w:rsid w:val="27DC037F"/>
    <w:rsid w:val="285F46CD"/>
    <w:rsid w:val="28884063"/>
    <w:rsid w:val="2938171F"/>
    <w:rsid w:val="29695C42"/>
    <w:rsid w:val="299F78B6"/>
    <w:rsid w:val="29B80858"/>
    <w:rsid w:val="29D55086"/>
    <w:rsid w:val="29EA6657"/>
    <w:rsid w:val="2A1F4553"/>
    <w:rsid w:val="2A4346E5"/>
    <w:rsid w:val="2A697EC4"/>
    <w:rsid w:val="2A756869"/>
    <w:rsid w:val="2AD43392"/>
    <w:rsid w:val="2B0F6376"/>
    <w:rsid w:val="2B185788"/>
    <w:rsid w:val="2B604E23"/>
    <w:rsid w:val="2BAF7B59"/>
    <w:rsid w:val="2BBD04C8"/>
    <w:rsid w:val="2C7566AC"/>
    <w:rsid w:val="2C954FA0"/>
    <w:rsid w:val="2CCE2260"/>
    <w:rsid w:val="2CE13D42"/>
    <w:rsid w:val="2D197980"/>
    <w:rsid w:val="2D340315"/>
    <w:rsid w:val="2D560F91"/>
    <w:rsid w:val="2D7B4196"/>
    <w:rsid w:val="2D940D12"/>
    <w:rsid w:val="2D9447FA"/>
    <w:rsid w:val="2DEE4B40"/>
    <w:rsid w:val="2DFA397D"/>
    <w:rsid w:val="2E073C7C"/>
    <w:rsid w:val="2E206AEC"/>
    <w:rsid w:val="2E400F3C"/>
    <w:rsid w:val="2E8E614B"/>
    <w:rsid w:val="2E9A651F"/>
    <w:rsid w:val="2EA74B17"/>
    <w:rsid w:val="2F067B02"/>
    <w:rsid w:val="2F8B61E7"/>
    <w:rsid w:val="300246FB"/>
    <w:rsid w:val="30313232"/>
    <w:rsid w:val="30367D54"/>
    <w:rsid w:val="306233EC"/>
    <w:rsid w:val="30B05F05"/>
    <w:rsid w:val="30B33C47"/>
    <w:rsid w:val="313B2B55"/>
    <w:rsid w:val="31445AD2"/>
    <w:rsid w:val="31A35A6A"/>
    <w:rsid w:val="31C32959"/>
    <w:rsid w:val="31F12C79"/>
    <w:rsid w:val="31F6203D"/>
    <w:rsid w:val="327B0795"/>
    <w:rsid w:val="32931F82"/>
    <w:rsid w:val="32F742BF"/>
    <w:rsid w:val="332826CA"/>
    <w:rsid w:val="333252F7"/>
    <w:rsid w:val="3351295A"/>
    <w:rsid w:val="335B0688"/>
    <w:rsid w:val="33C137F8"/>
    <w:rsid w:val="34847DD4"/>
    <w:rsid w:val="34D76745"/>
    <w:rsid w:val="34EB1C02"/>
    <w:rsid w:val="35011425"/>
    <w:rsid w:val="35020CF9"/>
    <w:rsid w:val="350C5282"/>
    <w:rsid w:val="350D601C"/>
    <w:rsid w:val="35201724"/>
    <w:rsid w:val="35245113"/>
    <w:rsid w:val="353E75DF"/>
    <w:rsid w:val="3583008C"/>
    <w:rsid w:val="35897439"/>
    <w:rsid w:val="359009FB"/>
    <w:rsid w:val="3598340C"/>
    <w:rsid w:val="35A3428A"/>
    <w:rsid w:val="35DA1C76"/>
    <w:rsid w:val="35ED19A9"/>
    <w:rsid w:val="35EF74CF"/>
    <w:rsid w:val="36022C46"/>
    <w:rsid w:val="36266C69"/>
    <w:rsid w:val="36317AE8"/>
    <w:rsid w:val="36610694"/>
    <w:rsid w:val="36687282"/>
    <w:rsid w:val="3684230E"/>
    <w:rsid w:val="36B6623F"/>
    <w:rsid w:val="36BE4FD8"/>
    <w:rsid w:val="370527BE"/>
    <w:rsid w:val="370E11AC"/>
    <w:rsid w:val="371D3BBD"/>
    <w:rsid w:val="375021F0"/>
    <w:rsid w:val="375D2B5F"/>
    <w:rsid w:val="37643EED"/>
    <w:rsid w:val="377F4883"/>
    <w:rsid w:val="379C71E3"/>
    <w:rsid w:val="37B3277F"/>
    <w:rsid w:val="37DE5A4E"/>
    <w:rsid w:val="381E6CFA"/>
    <w:rsid w:val="381F1BC2"/>
    <w:rsid w:val="385B6E6D"/>
    <w:rsid w:val="38675A43"/>
    <w:rsid w:val="3868730C"/>
    <w:rsid w:val="38763ED8"/>
    <w:rsid w:val="38A345A1"/>
    <w:rsid w:val="395D23DA"/>
    <w:rsid w:val="39664A80"/>
    <w:rsid w:val="39671A73"/>
    <w:rsid w:val="39686128"/>
    <w:rsid w:val="39932868"/>
    <w:rsid w:val="39E66E3B"/>
    <w:rsid w:val="3A2D6818"/>
    <w:rsid w:val="3A4F49E1"/>
    <w:rsid w:val="3AA36ADA"/>
    <w:rsid w:val="3AA60379"/>
    <w:rsid w:val="3ABB3A2F"/>
    <w:rsid w:val="3AC64E44"/>
    <w:rsid w:val="3BBE148B"/>
    <w:rsid w:val="3C6E4EC6"/>
    <w:rsid w:val="3C8D1371"/>
    <w:rsid w:val="3CA32DC2"/>
    <w:rsid w:val="3CA37266"/>
    <w:rsid w:val="3CCF3BB7"/>
    <w:rsid w:val="3D115F7D"/>
    <w:rsid w:val="3D65451B"/>
    <w:rsid w:val="3DA54918"/>
    <w:rsid w:val="3E111FAD"/>
    <w:rsid w:val="3E4D52AC"/>
    <w:rsid w:val="3E5F0F6A"/>
    <w:rsid w:val="3E894239"/>
    <w:rsid w:val="3E927592"/>
    <w:rsid w:val="3E95498C"/>
    <w:rsid w:val="3EB85B99"/>
    <w:rsid w:val="3ED96F6F"/>
    <w:rsid w:val="3F021A95"/>
    <w:rsid w:val="3F0A537A"/>
    <w:rsid w:val="3F0C10F2"/>
    <w:rsid w:val="3F1A38CA"/>
    <w:rsid w:val="3F874C1D"/>
    <w:rsid w:val="3F8F587F"/>
    <w:rsid w:val="3F9B06C8"/>
    <w:rsid w:val="3FA61B8F"/>
    <w:rsid w:val="3FBA29AB"/>
    <w:rsid w:val="400C257F"/>
    <w:rsid w:val="400D3374"/>
    <w:rsid w:val="40512B35"/>
    <w:rsid w:val="409F7D44"/>
    <w:rsid w:val="40B31AAC"/>
    <w:rsid w:val="41270465"/>
    <w:rsid w:val="414B0737"/>
    <w:rsid w:val="415671A8"/>
    <w:rsid w:val="41650F8E"/>
    <w:rsid w:val="41923405"/>
    <w:rsid w:val="419401EB"/>
    <w:rsid w:val="41941738"/>
    <w:rsid w:val="41C2018E"/>
    <w:rsid w:val="422B7AE1"/>
    <w:rsid w:val="423050F8"/>
    <w:rsid w:val="42997141"/>
    <w:rsid w:val="431B2153"/>
    <w:rsid w:val="43252782"/>
    <w:rsid w:val="43324E9F"/>
    <w:rsid w:val="439711A6"/>
    <w:rsid w:val="440D17C7"/>
    <w:rsid w:val="444A301F"/>
    <w:rsid w:val="44703ED1"/>
    <w:rsid w:val="447A4D50"/>
    <w:rsid w:val="44A1052F"/>
    <w:rsid w:val="44D51F86"/>
    <w:rsid w:val="44DF4BB3"/>
    <w:rsid w:val="44F468B0"/>
    <w:rsid w:val="44F87A23"/>
    <w:rsid w:val="45147397"/>
    <w:rsid w:val="45246A6A"/>
    <w:rsid w:val="45921C25"/>
    <w:rsid w:val="45C17523"/>
    <w:rsid w:val="46277CE2"/>
    <w:rsid w:val="46535859"/>
    <w:rsid w:val="465810C1"/>
    <w:rsid w:val="47152B0E"/>
    <w:rsid w:val="47283DCB"/>
    <w:rsid w:val="475D7D2A"/>
    <w:rsid w:val="476D294A"/>
    <w:rsid w:val="477C493B"/>
    <w:rsid w:val="47A143A2"/>
    <w:rsid w:val="47CD5197"/>
    <w:rsid w:val="481B4154"/>
    <w:rsid w:val="48912668"/>
    <w:rsid w:val="48981928"/>
    <w:rsid w:val="489A151D"/>
    <w:rsid w:val="48D82045"/>
    <w:rsid w:val="48FF1386"/>
    <w:rsid w:val="49042FF5"/>
    <w:rsid w:val="49180694"/>
    <w:rsid w:val="49374FBE"/>
    <w:rsid w:val="495B01BA"/>
    <w:rsid w:val="497E2BEC"/>
    <w:rsid w:val="49A40179"/>
    <w:rsid w:val="49AE4F6E"/>
    <w:rsid w:val="49E669E4"/>
    <w:rsid w:val="49EC082B"/>
    <w:rsid w:val="4A1E7F2C"/>
    <w:rsid w:val="4A282B58"/>
    <w:rsid w:val="4A421E6C"/>
    <w:rsid w:val="4A655B5A"/>
    <w:rsid w:val="4A657B03"/>
    <w:rsid w:val="4A7933B4"/>
    <w:rsid w:val="4AA523FB"/>
    <w:rsid w:val="4ADF76BB"/>
    <w:rsid w:val="4B131EA1"/>
    <w:rsid w:val="4B3D45DA"/>
    <w:rsid w:val="4B6202EC"/>
    <w:rsid w:val="4C687565"/>
    <w:rsid w:val="4CFD2503"/>
    <w:rsid w:val="4D245859"/>
    <w:rsid w:val="4D2770F7"/>
    <w:rsid w:val="4D587BF8"/>
    <w:rsid w:val="4DA70238"/>
    <w:rsid w:val="4DB3544E"/>
    <w:rsid w:val="4DE82D2A"/>
    <w:rsid w:val="4E0631B0"/>
    <w:rsid w:val="4E165AE9"/>
    <w:rsid w:val="4E955C33"/>
    <w:rsid w:val="4F0C0C9A"/>
    <w:rsid w:val="4F3124AF"/>
    <w:rsid w:val="4FF43C08"/>
    <w:rsid w:val="4FFF25AD"/>
    <w:rsid w:val="5015592D"/>
    <w:rsid w:val="50B138A7"/>
    <w:rsid w:val="50C00651"/>
    <w:rsid w:val="50C335DB"/>
    <w:rsid w:val="50FB2D75"/>
    <w:rsid w:val="5124051D"/>
    <w:rsid w:val="51915487"/>
    <w:rsid w:val="51AC22C1"/>
    <w:rsid w:val="51DB6702"/>
    <w:rsid w:val="51F37EF0"/>
    <w:rsid w:val="521A1920"/>
    <w:rsid w:val="52EC70CB"/>
    <w:rsid w:val="531E0F9C"/>
    <w:rsid w:val="53334A48"/>
    <w:rsid w:val="533635C3"/>
    <w:rsid w:val="53394028"/>
    <w:rsid w:val="53654E1D"/>
    <w:rsid w:val="53733096"/>
    <w:rsid w:val="53F266B1"/>
    <w:rsid w:val="53F35F85"/>
    <w:rsid w:val="540E1C2C"/>
    <w:rsid w:val="544121AC"/>
    <w:rsid w:val="54422A68"/>
    <w:rsid w:val="545C7FCE"/>
    <w:rsid w:val="54617393"/>
    <w:rsid w:val="54745318"/>
    <w:rsid w:val="54890697"/>
    <w:rsid w:val="54DE5328"/>
    <w:rsid w:val="550261A7"/>
    <w:rsid w:val="550F7668"/>
    <w:rsid w:val="5543118E"/>
    <w:rsid w:val="55493437"/>
    <w:rsid w:val="55766E6E"/>
    <w:rsid w:val="558366DE"/>
    <w:rsid w:val="55897E28"/>
    <w:rsid w:val="559B68D4"/>
    <w:rsid w:val="55B160F8"/>
    <w:rsid w:val="55C027DF"/>
    <w:rsid w:val="565C42B5"/>
    <w:rsid w:val="56644ABE"/>
    <w:rsid w:val="569752EE"/>
    <w:rsid w:val="56AB0D99"/>
    <w:rsid w:val="56C65BD3"/>
    <w:rsid w:val="56C97471"/>
    <w:rsid w:val="56D45A92"/>
    <w:rsid w:val="56F97D56"/>
    <w:rsid w:val="5717642E"/>
    <w:rsid w:val="57236B81"/>
    <w:rsid w:val="572F127F"/>
    <w:rsid w:val="57362D58"/>
    <w:rsid w:val="5758598D"/>
    <w:rsid w:val="576553EC"/>
    <w:rsid w:val="57683096"/>
    <w:rsid w:val="578C2978"/>
    <w:rsid w:val="57B974E6"/>
    <w:rsid w:val="58360B36"/>
    <w:rsid w:val="583D0117"/>
    <w:rsid w:val="587846CB"/>
    <w:rsid w:val="5889335C"/>
    <w:rsid w:val="58A14202"/>
    <w:rsid w:val="58C148A4"/>
    <w:rsid w:val="58FA7DB6"/>
    <w:rsid w:val="58FB4535"/>
    <w:rsid w:val="591B0458"/>
    <w:rsid w:val="59262959"/>
    <w:rsid w:val="595A2602"/>
    <w:rsid w:val="59611BE3"/>
    <w:rsid w:val="597500F1"/>
    <w:rsid w:val="597C07CB"/>
    <w:rsid w:val="59EE77EA"/>
    <w:rsid w:val="5A0233C6"/>
    <w:rsid w:val="5A184997"/>
    <w:rsid w:val="5A44143E"/>
    <w:rsid w:val="5A753B98"/>
    <w:rsid w:val="5ADD786F"/>
    <w:rsid w:val="5AE42ACB"/>
    <w:rsid w:val="5B205558"/>
    <w:rsid w:val="5B353327"/>
    <w:rsid w:val="5BB66216"/>
    <w:rsid w:val="5BC00E43"/>
    <w:rsid w:val="5BC546AB"/>
    <w:rsid w:val="5BD112A2"/>
    <w:rsid w:val="5C8005D2"/>
    <w:rsid w:val="5CAA1F54"/>
    <w:rsid w:val="5CB309A7"/>
    <w:rsid w:val="5CC44962"/>
    <w:rsid w:val="5CE2303B"/>
    <w:rsid w:val="5D465377"/>
    <w:rsid w:val="5D7320AF"/>
    <w:rsid w:val="5DAE4F4D"/>
    <w:rsid w:val="5E2C6C63"/>
    <w:rsid w:val="5EE4364B"/>
    <w:rsid w:val="5EE74938"/>
    <w:rsid w:val="5EE94B54"/>
    <w:rsid w:val="5EE96902"/>
    <w:rsid w:val="5F4B3119"/>
    <w:rsid w:val="5F4C0C3F"/>
    <w:rsid w:val="5F702B80"/>
    <w:rsid w:val="5FA36AB1"/>
    <w:rsid w:val="600357A2"/>
    <w:rsid w:val="60261490"/>
    <w:rsid w:val="60383FDA"/>
    <w:rsid w:val="60A9459B"/>
    <w:rsid w:val="610A54D9"/>
    <w:rsid w:val="61320706"/>
    <w:rsid w:val="614B11AE"/>
    <w:rsid w:val="6152576D"/>
    <w:rsid w:val="61525904"/>
    <w:rsid w:val="61722BDF"/>
    <w:rsid w:val="61AD1E69"/>
    <w:rsid w:val="6200643D"/>
    <w:rsid w:val="6223212B"/>
    <w:rsid w:val="62257060"/>
    <w:rsid w:val="62314848"/>
    <w:rsid w:val="625B18C5"/>
    <w:rsid w:val="62816E52"/>
    <w:rsid w:val="62946B85"/>
    <w:rsid w:val="62B24A68"/>
    <w:rsid w:val="6300421A"/>
    <w:rsid w:val="630261E5"/>
    <w:rsid w:val="63136A25"/>
    <w:rsid w:val="632663B6"/>
    <w:rsid w:val="632717A7"/>
    <w:rsid w:val="63696264"/>
    <w:rsid w:val="63846BFA"/>
    <w:rsid w:val="63893B0B"/>
    <w:rsid w:val="639E415F"/>
    <w:rsid w:val="63A4104A"/>
    <w:rsid w:val="63EB6C79"/>
    <w:rsid w:val="6417181C"/>
    <w:rsid w:val="644D16E1"/>
    <w:rsid w:val="648140BB"/>
    <w:rsid w:val="64AF7CA6"/>
    <w:rsid w:val="64F16511"/>
    <w:rsid w:val="65424FBE"/>
    <w:rsid w:val="657C227E"/>
    <w:rsid w:val="657D7DA4"/>
    <w:rsid w:val="6586115D"/>
    <w:rsid w:val="65867999"/>
    <w:rsid w:val="659B022A"/>
    <w:rsid w:val="65DD280C"/>
    <w:rsid w:val="65FF4C5D"/>
    <w:rsid w:val="661221A0"/>
    <w:rsid w:val="661F2C0A"/>
    <w:rsid w:val="66246472"/>
    <w:rsid w:val="6632293D"/>
    <w:rsid w:val="666B23BE"/>
    <w:rsid w:val="667C62AE"/>
    <w:rsid w:val="6683763C"/>
    <w:rsid w:val="668F4233"/>
    <w:rsid w:val="66990C0E"/>
    <w:rsid w:val="66B75538"/>
    <w:rsid w:val="66BC48FC"/>
    <w:rsid w:val="66CC3515"/>
    <w:rsid w:val="66DC6D4D"/>
    <w:rsid w:val="66FB5425"/>
    <w:rsid w:val="670A185F"/>
    <w:rsid w:val="67861016"/>
    <w:rsid w:val="67A365F1"/>
    <w:rsid w:val="67A7735B"/>
    <w:rsid w:val="67B3016B"/>
    <w:rsid w:val="68106CAE"/>
    <w:rsid w:val="68151085"/>
    <w:rsid w:val="68A815DC"/>
    <w:rsid w:val="68AB69D7"/>
    <w:rsid w:val="68B12FF9"/>
    <w:rsid w:val="68B46EA7"/>
    <w:rsid w:val="68FD36D6"/>
    <w:rsid w:val="69201173"/>
    <w:rsid w:val="694806C9"/>
    <w:rsid w:val="698F00A6"/>
    <w:rsid w:val="69A54E4F"/>
    <w:rsid w:val="69A73642"/>
    <w:rsid w:val="69E46644"/>
    <w:rsid w:val="6ABC136F"/>
    <w:rsid w:val="6AEC48B0"/>
    <w:rsid w:val="6B2026ED"/>
    <w:rsid w:val="6B3D24B0"/>
    <w:rsid w:val="6B796A22"/>
    <w:rsid w:val="6B981494"/>
    <w:rsid w:val="6BAF4A30"/>
    <w:rsid w:val="6BB87D88"/>
    <w:rsid w:val="6BC24763"/>
    <w:rsid w:val="6BC26511"/>
    <w:rsid w:val="6BE776E3"/>
    <w:rsid w:val="6C1C5226"/>
    <w:rsid w:val="6C7F2654"/>
    <w:rsid w:val="6C8E0AE9"/>
    <w:rsid w:val="6D062D75"/>
    <w:rsid w:val="6D0A1AB9"/>
    <w:rsid w:val="6D192AA9"/>
    <w:rsid w:val="6D1C2C81"/>
    <w:rsid w:val="6D9914F3"/>
    <w:rsid w:val="6DA34155"/>
    <w:rsid w:val="6DC5053A"/>
    <w:rsid w:val="6E1312A6"/>
    <w:rsid w:val="6E250FD9"/>
    <w:rsid w:val="6E792DFE"/>
    <w:rsid w:val="6F0641DA"/>
    <w:rsid w:val="6F392F8E"/>
    <w:rsid w:val="6F7915DC"/>
    <w:rsid w:val="6F8306AD"/>
    <w:rsid w:val="6FA7614A"/>
    <w:rsid w:val="6FB16FC8"/>
    <w:rsid w:val="6FB22D40"/>
    <w:rsid w:val="6FD74C3F"/>
    <w:rsid w:val="6FFD7A64"/>
    <w:rsid w:val="70016354"/>
    <w:rsid w:val="702C2AF3"/>
    <w:rsid w:val="702F7EED"/>
    <w:rsid w:val="707D334E"/>
    <w:rsid w:val="70D32F6E"/>
    <w:rsid w:val="70F5678A"/>
    <w:rsid w:val="712E4649"/>
    <w:rsid w:val="713512D6"/>
    <w:rsid w:val="71687B5B"/>
    <w:rsid w:val="717402AD"/>
    <w:rsid w:val="718F3339"/>
    <w:rsid w:val="71D61BE2"/>
    <w:rsid w:val="71DE1F25"/>
    <w:rsid w:val="72031631"/>
    <w:rsid w:val="7278201F"/>
    <w:rsid w:val="727C6062"/>
    <w:rsid w:val="72800ED4"/>
    <w:rsid w:val="72C139C6"/>
    <w:rsid w:val="72C30BCC"/>
    <w:rsid w:val="72E17BC5"/>
    <w:rsid w:val="731F693F"/>
    <w:rsid w:val="7327134F"/>
    <w:rsid w:val="734463A5"/>
    <w:rsid w:val="735B43D2"/>
    <w:rsid w:val="738E7178"/>
    <w:rsid w:val="73A40BF2"/>
    <w:rsid w:val="740B2A1F"/>
    <w:rsid w:val="74100036"/>
    <w:rsid w:val="742835D1"/>
    <w:rsid w:val="7476433D"/>
    <w:rsid w:val="748C590E"/>
    <w:rsid w:val="74F14041"/>
    <w:rsid w:val="750000AA"/>
    <w:rsid w:val="75226272"/>
    <w:rsid w:val="75355FA6"/>
    <w:rsid w:val="753F6E24"/>
    <w:rsid w:val="75481509"/>
    <w:rsid w:val="758F1B5A"/>
    <w:rsid w:val="75BA46FD"/>
    <w:rsid w:val="75BF3AC1"/>
    <w:rsid w:val="75E023B5"/>
    <w:rsid w:val="75E55C1E"/>
    <w:rsid w:val="76053BCA"/>
    <w:rsid w:val="760836BA"/>
    <w:rsid w:val="7640418E"/>
    <w:rsid w:val="764364A0"/>
    <w:rsid w:val="76801238"/>
    <w:rsid w:val="76962A74"/>
    <w:rsid w:val="76A01B45"/>
    <w:rsid w:val="76AA651F"/>
    <w:rsid w:val="76AF1D88"/>
    <w:rsid w:val="7709745B"/>
    <w:rsid w:val="771B11CB"/>
    <w:rsid w:val="7791148D"/>
    <w:rsid w:val="77BC475C"/>
    <w:rsid w:val="77D9530E"/>
    <w:rsid w:val="77ED2B68"/>
    <w:rsid w:val="78153E6C"/>
    <w:rsid w:val="78340796"/>
    <w:rsid w:val="786C6182"/>
    <w:rsid w:val="788838B1"/>
    <w:rsid w:val="78A054C2"/>
    <w:rsid w:val="78A376CA"/>
    <w:rsid w:val="78A53442"/>
    <w:rsid w:val="78A551F0"/>
    <w:rsid w:val="78E421BD"/>
    <w:rsid w:val="7902455C"/>
    <w:rsid w:val="79260EC0"/>
    <w:rsid w:val="796450AB"/>
    <w:rsid w:val="7985373C"/>
    <w:rsid w:val="79BA4CCB"/>
    <w:rsid w:val="79F47D0C"/>
    <w:rsid w:val="79F510D6"/>
    <w:rsid w:val="79FE72AE"/>
    <w:rsid w:val="7B0B1DCF"/>
    <w:rsid w:val="7B31720F"/>
    <w:rsid w:val="7B450F0D"/>
    <w:rsid w:val="7B4707E1"/>
    <w:rsid w:val="7B8C08E9"/>
    <w:rsid w:val="7BA72A30"/>
    <w:rsid w:val="7BB8348D"/>
    <w:rsid w:val="7C18217D"/>
    <w:rsid w:val="7C1C1C6D"/>
    <w:rsid w:val="7C4B4301"/>
    <w:rsid w:val="7C581C80"/>
    <w:rsid w:val="7C9F63FA"/>
    <w:rsid w:val="7CA12173"/>
    <w:rsid w:val="7CC87042"/>
    <w:rsid w:val="7D1D0ACD"/>
    <w:rsid w:val="7D5471E5"/>
    <w:rsid w:val="7DFF1847"/>
    <w:rsid w:val="7E4D4360"/>
    <w:rsid w:val="7E7612F4"/>
    <w:rsid w:val="7E857F9E"/>
    <w:rsid w:val="7E971A7F"/>
    <w:rsid w:val="7ED405DD"/>
    <w:rsid w:val="7F692316"/>
    <w:rsid w:val="7F8F169F"/>
    <w:rsid w:val="7F983D01"/>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qFormat/>
    <w:uiPriority w:val="0"/>
    <w:pPr>
      <w:ind w:firstLine="420" w:firstLineChars="200"/>
      <w:jc w:val="left"/>
    </w:pPr>
    <w:rPr>
      <w:rFonts w:ascii="宋体" w:hAnsi="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6" Type="http://schemas.openxmlformats.org/officeDocument/2006/relationships/fontTable" Target="fontTable.xml"/><Relationship Id="rId55" Type="http://schemas.openxmlformats.org/officeDocument/2006/relationships/customXml" Target="../customXml/item1.xml"/><Relationship Id="rId54" Type="http://schemas.openxmlformats.org/officeDocument/2006/relationships/chart" Target="charts/chart49.xml"/><Relationship Id="rId53" Type="http://schemas.openxmlformats.org/officeDocument/2006/relationships/chart" Target="charts/chart48.xml"/><Relationship Id="rId52" Type="http://schemas.openxmlformats.org/officeDocument/2006/relationships/chart" Target="charts/chart47.xml"/><Relationship Id="rId51" Type="http://schemas.openxmlformats.org/officeDocument/2006/relationships/chart" Target="charts/chart46.xml"/><Relationship Id="rId50" Type="http://schemas.openxmlformats.org/officeDocument/2006/relationships/chart" Target="charts/chart45.xml"/><Relationship Id="rId5" Type="http://schemas.openxmlformats.org/officeDocument/2006/relationships/theme" Target="theme/theme1.xml"/><Relationship Id="rId49" Type="http://schemas.openxmlformats.org/officeDocument/2006/relationships/chart" Target="charts/chart44.xml"/><Relationship Id="rId48" Type="http://schemas.openxmlformats.org/officeDocument/2006/relationships/chart" Target="charts/chart43.xml"/><Relationship Id="rId47" Type="http://schemas.openxmlformats.org/officeDocument/2006/relationships/chart" Target="charts/chart42.xml"/><Relationship Id="rId46" Type="http://schemas.openxmlformats.org/officeDocument/2006/relationships/chart" Target="charts/chart41.xml"/><Relationship Id="rId45" Type="http://schemas.openxmlformats.org/officeDocument/2006/relationships/chart" Target="charts/chart40.xml"/><Relationship Id="rId44" Type="http://schemas.openxmlformats.org/officeDocument/2006/relationships/chart" Target="charts/chart39.xml"/><Relationship Id="rId43" Type="http://schemas.openxmlformats.org/officeDocument/2006/relationships/chart" Target="charts/chart38.xml"/><Relationship Id="rId42" Type="http://schemas.openxmlformats.org/officeDocument/2006/relationships/chart" Target="charts/chart37.xml"/><Relationship Id="rId41" Type="http://schemas.openxmlformats.org/officeDocument/2006/relationships/chart" Target="charts/chart36.xml"/><Relationship Id="rId40" Type="http://schemas.openxmlformats.org/officeDocument/2006/relationships/chart" Target="charts/chart35.xml"/><Relationship Id="rId4" Type="http://schemas.openxmlformats.org/officeDocument/2006/relationships/footer" Target="footer2.xml"/><Relationship Id="rId39" Type="http://schemas.openxmlformats.org/officeDocument/2006/relationships/chart" Target="charts/chart34.xml"/><Relationship Id="rId38" Type="http://schemas.openxmlformats.org/officeDocument/2006/relationships/chart" Target="charts/chart33.xml"/><Relationship Id="rId37" Type="http://schemas.openxmlformats.org/officeDocument/2006/relationships/chart" Target="charts/chart32.xml"/><Relationship Id="rId36" Type="http://schemas.openxmlformats.org/officeDocument/2006/relationships/chart" Target="charts/chart31.xml"/><Relationship Id="rId35" Type="http://schemas.openxmlformats.org/officeDocument/2006/relationships/chart" Target="charts/chart30.xml"/><Relationship Id="rId34" Type="http://schemas.openxmlformats.org/officeDocument/2006/relationships/chart" Target="charts/chart29.xml"/><Relationship Id="rId33" Type="http://schemas.openxmlformats.org/officeDocument/2006/relationships/chart" Target="charts/chart28.xml"/><Relationship Id="rId32" Type="http://schemas.openxmlformats.org/officeDocument/2006/relationships/chart" Target="charts/chart27.xml"/><Relationship Id="rId31" Type="http://schemas.openxmlformats.org/officeDocument/2006/relationships/chart" Target="charts/chart26.xml"/><Relationship Id="rId30" Type="http://schemas.openxmlformats.org/officeDocument/2006/relationships/chart" Target="charts/chart25.xml"/><Relationship Id="rId3" Type="http://schemas.openxmlformats.org/officeDocument/2006/relationships/footer" Target="footer1.xml"/><Relationship Id="rId29" Type="http://schemas.openxmlformats.org/officeDocument/2006/relationships/chart" Target="charts/chart24.xml"/><Relationship Id="rId28" Type="http://schemas.openxmlformats.org/officeDocument/2006/relationships/chart" Target="charts/chart23.xml"/><Relationship Id="rId27" Type="http://schemas.openxmlformats.org/officeDocument/2006/relationships/chart" Target="charts/chart22.xml"/><Relationship Id="rId26" Type="http://schemas.openxmlformats.org/officeDocument/2006/relationships/chart" Target="charts/chart21.xml"/><Relationship Id="rId25" Type="http://schemas.openxmlformats.org/officeDocument/2006/relationships/chart" Target="charts/chart20.xml"/><Relationship Id="rId24" Type="http://schemas.openxmlformats.org/officeDocument/2006/relationships/chart" Target="charts/chart19.xml"/><Relationship Id="rId23" Type="http://schemas.openxmlformats.org/officeDocument/2006/relationships/chart" Target="charts/chart18.xml"/><Relationship Id="rId22" Type="http://schemas.openxmlformats.org/officeDocument/2006/relationships/chart" Target="charts/chart17.xml"/><Relationship Id="rId21" Type="http://schemas.openxmlformats.org/officeDocument/2006/relationships/chart" Target="charts/chart16.xml"/><Relationship Id="rId20" Type="http://schemas.openxmlformats.org/officeDocument/2006/relationships/chart" Target="charts/chart15.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8.xml"/><Relationship Id="rId2" Type="http://schemas.microsoft.com/office/2011/relationships/chartStyle" Target="style28.xml"/><Relationship Id="rId1" Type="http://schemas.openxmlformats.org/officeDocument/2006/relationships/oleObject" Target="file:///C:\Users\fang.com\Documents\WeChat%20Files\wxid_7686646866912\FileStorage\File\2023-09\22&#20844;&#25253;&#25968;&#25454;-&#21069;&#19977;&#37096;&#20998;0915.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4.xml"/><Relationship Id="rId2" Type="http://schemas.microsoft.com/office/2011/relationships/chartStyle" Target="style14.xml"/><Relationship Id="rId1" Type="http://schemas.openxmlformats.org/officeDocument/2006/relationships/oleObject" Target="file:///C:\Users\fang.com\Desktop\&#20844;&#25253;\22&#20844;&#25253;&#25968;&#25454;-&#21069;&#19977;&#37096;&#20998;.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fang.com\Documents\WeChat%20Files\wxid_7686646866912\FileStorage\File\2023-09\22&#20844;&#25253;&#25968;&#25454;-&#21069;&#19977;&#37096;&#20998;0915.xlsx"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23.xml"/><Relationship Id="rId2" Type="http://schemas.microsoft.com/office/2011/relationships/chartStyle" Target="style23.xml"/><Relationship Id="rId1" Type="http://schemas.openxmlformats.org/officeDocument/2006/relationships/oleObject" Target="file:///C:\Users\fang.com\Documents\WeChat%20Files\wxid_7686646866912\FileStorage\File\2023-09\22&#20844;&#25253;&#25968;&#25454;-&#21069;&#19977;&#37096;&#20998;0915.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21.xml"/><Relationship Id="rId2" Type="http://schemas.microsoft.com/office/2011/relationships/chartStyle" Target="style21.xml"/><Relationship Id="rId1" Type="http://schemas.openxmlformats.org/officeDocument/2006/relationships/oleObject" Target="file:///C:\Users\fang.com\Desktop\&#20844;&#25253;\22&#20844;&#25253;&#25968;&#25454;-&#21069;&#19977;&#37096;&#20998;.xlsx"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20.xml"/><Relationship Id="rId2" Type="http://schemas.microsoft.com/office/2011/relationships/chartStyle" Target="style20.xml"/><Relationship Id="rId1" Type="http://schemas.openxmlformats.org/officeDocument/2006/relationships/oleObject" Target="file:///C:\Users\fang.com\Desktop\&#25253;&#38144;\8&#26376;&#25253;&#38144;\22&#20844;&#25253;&#25968;&#25454;-&#21069;&#19977;&#37096;&#20998;0919.xlsx"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29.xml"/><Relationship Id="rId2" Type="http://schemas.microsoft.com/office/2011/relationships/chartStyle" Target="style29.xml"/><Relationship Id="rId1" Type="http://schemas.openxmlformats.org/officeDocument/2006/relationships/oleObject" Target="file:///C:\Users\fang.com\Desktop\&#20844;&#25253;\22&#20844;&#25253;&#25968;&#25454;-&#21069;&#19977;&#37096;&#20998;0915.xlsx" TargetMode="External"/></Relationships>
</file>

<file path=word/charts/_rels/chart16.xml.rels><?xml version="1.0" encoding="UTF-8" standalone="yes"?>
<Relationships xmlns="http://schemas.openxmlformats.org/package/2006/relationships"><Relationship Id="rId3" Type="http://schemas.microsoft.com/office/2011/relationships/chartColorStyle" Target="colors18.xml"/><Relationship Id="rId2" Type="http://schemas.microsoft.com/office/2011/relationships/chartStyle" Target="style18.xml"/><Relationship Id="rId1" Type="http://schemas.openxmlformats.org/officeDocument/2006/relationships/oleObject" Target="file:///C:\Users\fang.com\Desktop\&#20844;&#25253;\22&#20844;&#25253;&#25968;&#25454;-&#21069;&#19977;&#37096;&#20998;0915.xlsx" TargetMode="External"/></Relationships>
</file>

<file path=word/charts/_rels/chart17.xml.rels><?xml version="1.0" encoding="UTF-8" standalone="yes"?>
<Relationships xmlns="http://schemas.openxmlformats.org/package/2006/relationships"><Relationship Id="rId3" Type="http://schemas.microsoft.com/office/2011/relationships/chartColorStyle" Target="colors22.xml"/><Relationship Id="rId2" Type="http://schemas.microsoft.com/office/2011/relationships/chartStyle" Target="style22.xml"/><Relationship Id="rId1" Type="http://schemas.openxmlformats.org/officeDocument/2006/relationships/oleObject" Target="file:///C:\Users\fang.com\Desktop\&#20844;&#25253;\22&#20844;&#25253;&#25968;&#25454;-&#21069;&#19977;&#37096;&#20998;0915.xlsx" TargetMode="External"/></Relationships>
</file>

<file path=word/charts/_rels/chart18.xml.rels><?xml version="1.0" encoding="UTF-8" standalone="yes"?>
<Relationships xmlns="http://schemas.openxmlformats.org/package/2006/relationships"><Relationship Id="rId3" Type="http://schemas.microsoft.com/office/2011/relationships/chartColorStyle" Target="colors19.xml"/><Relationship Id="rId2" Type="http://schemas.microsoft.com/office/2011/relationships/chartStyle" Target="style19.xml"/><Relationship Id="rId1" Type="http://schemas.openxmlformats.org/officeDocument/2006/relationships/oleObject" Target="file:///C:\Users\fang.com\Desktop\&#20844;&#25253;\22&#20844;&#25253;&#25968;&#25454;-&#21069;&#19977;&#37096;&#20998;0915.xlsx" TargetMode="External"/></Relationships>
</file>

<file path=word/charts/_rels/chart19.xml.rels><?xml version="1.0" encoding="UTF-8" standalone="yes"?>
<Relationships xmlns="http://schemas.openxmlformats.org/package/2006/relationships"><Relationship Id="rId3" Type="http://schemas.microsoft.com/office/2011/relationships/chartColorStyle" Target="colors24.xml"/><Relationship Id="rId2" Type="http://schemas.microsoft.com/office/2011/relationships/chartStyle" Target="style24.xml"/><Relationship Id="rId1" Type="http://schemas.openxmlformats.org/officeDocument/2006/relationships/oleObject" Target="file:///C:\Users\fang.com\Desktop\&#20844;&#25253;\22&#20844;&#25253;&#25968;&#25454;-&#21069;&#19977;&#37096;&#20998;091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C:\Users\fang.com\Desktop\&#20844;&#25253;\22&#20844;&#25253;&#25968;&#25454;-&#21069;&#19977;&#37096;&#20998;.xlsx" TargetMode="External"/></Relationships>
</file>

<file path=word/charts/_rels/chart20.xml.rels><?xml version="1.0" encoding="UTF-8" standalone="yes"?>
<Relationships xmlns="http://schemas.openxmlformats.org/package/2006/relationships"><Relationship Id="rId3" Type="http://schemas.microsoft.com/office/2011/relationships/chartColorStyle" Target="colors30.xml"/><Relationship Id="rId2" Type="http://schemas.microsoft.com/office/2011/relationships/chartStyle" Target="style30.xml"/><Relationship Id="rId1" Type="http://schemas.openxmlformats.org/officeDocument/2006/relationships/oleObject" Target="file:///C:\Users\fang.com\Desktop\&#20844;&#25253;\22&#20844;&#25253;&#25968;&#25454;-&#21069;&#19977;&#37096;&#20998;0915.xlsx" TargetMode="External"/></Relationships>
</file>

<file path=word/charts/_rels/chart21.xml.rels><?xml version="1.0" encoding="UTF-8" standalone="yes"?>
<Relationships xmlns="http://schemas.openxmlformats.org/package/2006/relationships"><Relationship Id="rId3" Type="http://schemas.microsoft.com/office/2011/relationships/chartColorStyle" Target="colors31.xml"/><Relationship Id="rId2" Type="http://schemas.microsoft.com/office/2011/relationships/chartStyle" Target="style31.xml"/><Relationship Id="rId1" Type="http://schemas.openxmlformats.org/officeDocument/2006/relationships/oleObject" Target="file:///C:\Users\fang.com\Desktop\&#20844;&#25253;\22&#20844;&#25253;&#25968;&#25454;-&#21069;&#19977;&#37096;&#20998;0915.xlsx" TargetMode="External"/></Relationships>
</file>

<file path=word/charts/_rels/chart22.xml.rels><?xml version="1.0" encoding="UTF-8" standalone="yes"?>
<Relationships xmlns="http://schemas.openxmlformats.org/package/2006/relationships"><Relationship Id="rId3" Type="http://schemas.microsoft.com/office/2011/relationships/chartColorStyle" Target="colors32.xml"/><Relationship Id="rId2" Type="http://schemas.microsoft.com/office/2011/relationships/chartStyle" Target="style32.xml"/><Relationship Id="rId1" Type="http://schemas.openxmlformats.org/officeDocument/2006/relationships/oleObject" Target="file:///C:\Users\fang.com\Desktop\&#20844;&#25253;\22&#20844;&#25253;&#25968;&#25454;-&#21069;&#19977;&#37096;&#20998;0915.xlsx" TargetMode="External"/></Relationships>
</file>

<file path=word/charts/_rels/chart23.xml.rels><?xml version="1.0" encoding="UTF-8" standalone="yes"?>
<Relationships xmlns="http://schemas.openxmlformats.org/package/2006/relationships"><Relationship Id="rId3" Type="http://schemas.microsoft.com/office/2011/relationships/chartColorStyle" Target="colors33.xml"/><Relationship Id="rId2" Type="http://schemas.microsoft.com/office/2011/relationships/chartStyle" Target="style33.xml"/><Relationship Id="rId1" Type="http://schemas.openxmlformats.org/officeDocument/2006/relationships/oleObject" Target="file:///C:\Users\fang.com\Desktop\&#25253;&#38144;\8&#26376;&#25253;&#38144;\22&#20844;&#25253;&#25968;&#25454;-&#21069;&#19977;&#37096;&#20998;0919.xlsx" TargetMode="External"/></Relationships>
</file>

<file path=word/charts/_rels/chart24.xml.rels><?xml version="1.0" encoding="UTF-8" standalone="yes"?>
<Relationships xmlns="http://schemas.openxmlformats.org/package/2006/relationships"><Relationship Id="rId3" Type="http://schemas.microsoft.com/office/2011/relationships/chartColorStyle" Target="colors34.xml"/><Relationship Id="rId2" Type="http://schemas.microsoft.com/office/2011/relationships/chartStyle" Target="style34.xml"/><Relationship Id="rId1" Type="http://schemas.openxmlformats.org/officeDocument/2006/relationships/oleObject" Target="file:///C:\Users\fang.com\Desktop\&#20844;&#25253;\22&#20844;&#25253;&#25968;&#25454;-&#21069;&#19977;&#37096;&#20998;.xlsx" TargetMode="External"/></Relationships>
</file>

<file path=word/charts/_rels/chart25.xml.rels><?xml version="1.0" encoding="UTF-8" standalone="yes"?>
<Relationships xmlns="http://schemas.openxmlformats.org/package/2006/relationships"><Relationship Id="rId3" Type="http://schemas.microsoft.com/office/2011/relationships/chartColorStyle" Target="colors35.xml"/><Relationship Id="rId2" Type="http://schemas.microsoft.com/office/2011/relationships/chartStyle" Target="style35.xml"/><Relationship Id="rId1" Type="http://schemas.openxmlformats.org/officeDocument/2006/relationships/oleObject" Target="file:///C:\Users\fang.com\Desktop\&#20844;&#25253;\22&#20844;&#25253;&#25968;&#25454;-&#21069;&#19977;&#37096;&#20998;0915.xlsx" TargetMode="External"/></Relationships>
</file>

<file path=word/charts/_rels/chart26.xml.rels><?xml version="1.0" encoding="UTF-8" standalone="yes"?>
<Relationships xmlns="http://schemas.openxmlformats.org/package/2006/relationships"><Relationship Id="rId3" Type="http://schemas.microsoft.com/office/2011/relationships/chartColorStyle" Target="colors36.xml"/><Relationship Id="rId2" Type="http://schemas.microsoft.com/office/2011/relationships/chartStyle" Target="style36.xml"/><Relationship Id="rId1" Type="http://schemas.openxmlformats.org/officeDocument/2006/relationships/oleObject" Target="file:///C:\Users\fang.com\Desktop\&#20844;&#25253;\22&#20844;&#25253;&#25968;&#25454;-&#21069;&#19977;&#37096;&#20998;0915.xlsx" TargetMode="External"/></Relationships>
</file>

<file path=word/charts/_rels/chart27.xml.rels><?xml version="1.0" encoding="UTF-8" standalone="yes"?>
<Relationships xmlns="http://schemas.openxmlformats.org/package/2006/relationships"><Relationship Id="rId3" Type="http://schemas.microsoft.com/office/2011/relationships/chartColorStyle" Target="colors37.xml"/><Relationship Id="rId2" Type="http://schemas.microsoft.com/office/2011/relationships/chartStyle" Target="style37.xml"/><Relationship Id="rId1" Type="http://schemas.openxmlformats.org/officeDocument/2006/relationships/oleObject" Target="file:///C:\Users\fang.com\Desktop\&#20844;&#25253;\22&#20844;&#25253;&#25968;&#25454;-&#21069;&#19977;&#37096;&#20998;0915.xlsx" TargetMode="External"/></Relationships>
</file>

<file path=word/charts/_rels/chart28.xml.rels><?xml version="1.0" encoding="UTF-8" standalone="yes"?>
<Relationships xmlns="http://schemas.openxmlformats.org/package/2006/relationships"><Relationship Id="rId3" Type="http://schemas.microsoft.com/office/2011/relationships/chartColorStyle" Target="colors38.xml"/><Relationship Id="rId2" Type="http://schemas.microsoft.com/office/2011/relationships/chartStyle" Target="style38.xml"/><Relationship Id="rId1" Type="http://schemas.openxmlformats.org/officeDocument/2006/relationships/oleObject" Target="file:///C:\Users\unive\Desktop\22&#20844;&#25253;&#25968;&#25454;-&#21069;&#19977;&#37096;&#20998;.xlsx" TargetMode="External"/></Relationships>
</file>

<file path=word/charts/_rels/chart29.xml.rels><?xml version="1.0" encoding="UTF-8" standalone="yes"?>
<Relationships xmlns="http://schemas.openxmlformats.org/package/2006/relationships"><Relationship Id="rId3" Type="http://schemas.microsoft.com/office/2011/relationships/chartColorStyle" Target="colors39.xml"/><Relationship Id="rId2" Type="http://schemas.microsoft.com/office/2011/relationships/chartStyle" Target="style39.xml"/><Relationship Id="rId1" Type="http://schemas.openxmlformats.org/officeDocument/2006/relationships/oleObject" Target="file:///C:\Users\fang.com\Desktop\&#20844;&#25253;\22&#24180;&#20844;&#25253;&#22270;&#34920;&#22235;&#20116;&#20845;&#37096;&#20998;%20091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7.xml"/><Relationship Id="rId2" Type="http://schemas.microsoft.com/office/2011/relationships/chartStyle" Target="style17.xml"/><Relationship Id="rId1" Type="http://schemas.openxmlformats.org/officeDocument/2006/relationships/oleObject" Target="file:///C:\Users\fang.com\Documents\WeChat%20Files\wxid_7686646866912\FileStorage\File\2023-09\22&#20844;&#25253;&#25968;&#25454;-&#21069;&#19977;&#37096;&#20998;0915.xlsx" TargetMode="External"/></Relationships>
</file>

<file path=word/charts/_rels/chart30.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fang.com\Desktop\&#20844;&#25253;\22&#24180;&#20844;&#25253;&#22270;&#34920;&#22235;&#20116;&#20845;&#37096;&#20998;.xlsx" TargetMode="External"/></Relationships>
</file>

<file path=word/charts/_rels/chart3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fang.com\Desktop\&#20844;&#25253;\22&#24180;&#20844;&#25253;&#22270;&#34920;&#22235;&#20116;&#20845;&#37096;&#20998;.xlsx" TargetMode="External"/></Relationships>
</file>

<file path=word/charts/_rels/chart3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fang.com\Desktop\&#20844;&#25253;\22&#24180;&#20844;&#25253;&#22270;&#34920;&#22235;&#20116;&#20845;&#37096;&#20998;%200915.xlsx" TargetMode="External"/></Relationships>
</file>

<file path=word/charts/_rels/chart33.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fang.com\Desktop\&#20844;&#25253;\22&#24180;&#20844;&#25253;&#22270;&#34920;&#22235;&#20116;&#20845;&#37096;&#20998;%200915.xlsx" TargetMode="External"/></Relationships>
</file>

<file path=word/charts/_rels/chart3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fang.com\Desktop\&#20844;&#25253;\22&#24180;&#20844;&#25253;&#22270;&#34920;&#22235;&#20116;&#20845;&#37096;&#20998;%200915.xlsx" TargetMode="External"/></Relationships>
</file>

<file path=word/charts/_rels/chart3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fang.com\Desktop\&#20844;&#25253;\22&#24180;&#20844;&#25253;&#22270;&#34920;&#22235;&#20116;&#20845;&#37096;&#20998;.xlsx" TargetMode="External"/></Relationships>
</file>

<file path=word/charts/_rels/chart3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fang.com\Desktop\&#20844;&#25253;\22&#24180;&#20844;&#25253;&#22270;&#34920;&#22235;&#20116;&#20845;&#37096;&#20998;%200915.xlsx" TargetMode="External"/></Relationships>
</file>

<file path=word/charts/_rels/chart3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fang.com\Desktop\&#20844;&#25253;\22&#24180;&#20844;&#25253;&#22270;&#34920;&#22235;&#20116;&#20845;&#37096;&#20998;%200915.xlsx" TargetMode="External"/></Relationships>
</file>

<file path=word/charts/_rels/chart38.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fang.com\Desktop\&#20844;&#25253;\22&#24180;&#20844;&#25253;&#22270;&#34920;&#22235;&#20116;&#20845;&#37096;&#20998;.xlsx" TargetMode="External"/></Relationships>
</file>

<file path=word/charts/_rels/chart39.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fang.com\Desktop\&#20844;&#25253;\22&#24180;&#20844;&#25253;&#22270;&#34920;&#22235;&#20116;&#20845;&#37096;&#2099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oleObject" Target="file:///C:\Users\fang.com\Desktop\&#20844;&#25253;\22&#20844;&#25253;&#25968;&#25454;-&#21069;&#19977;&#37096;&#20998;.xlsx" TargetMode="External"/></Relationships>
</file>

<file path=word/charts/_rels/chart40.xml.rels><?xml version="1.0" encoding="UTF-8" standalone="yes"?>
<Relationships xmlns="http://schemas.openxmlformats.org/package/2006/relationships"><Relationship Id="rId3" Type="http://schemas.microsoft.com/office/2011/relationships/chartColorStyle" Target="colors40.xml"/><Relationship Id="rId2" Type="http://schemas.microsoft.com/office/2011/relationships/chartStyle" Target="style40.xml"/><Relationship Id="rId1" Type="http://schemas.openxmlformats.org/officeDocument/2006/relationships/oleObject" Target="file:///C:\Users\fang.com\Desktop\&#20844;&#25253;\22&#24180;&#20844;&#25253;&#22270;&#34920;&#22235;&#20116;&#20845;&#37096;&#20998;%200915.xlsx" TargetMode="External"/></Relationships>
</file>

<file path=word/charts/_rels/chart41.xml.rels><?xml version="1.0" encoding="UTF-8" standalone="yes"?>
<Relationships xmlns="http://schemas.openxmlformats.org/package/2006/relationships"><Relationship Id="rId3" Type="http://schemas.microsoft.com/office/2011/relationships/chartColorStyle" Target="colors41.xml"/><Relationship Id="rId2" Type="http://schemas.microsoft.com/office/2011/relationships/chartStyle" Target="style41.xml"/><Relationship Id="rId1" Type="http://schemas.openxmlformats.org/officeDocument/2006/relationships/oleObject" Target="file:///C:\Users\fang.com\Desktop\&#20844;&#25253;\22&#24180;&#20844;&#25253;&#22270;&#34920;&#22235;&#20116;&#20845;&#37096;&#20998;%200915.xlsx" TargetMode="External"/></Relationships>
</file>

<file path=word/charts/_rels/chart42.xml.rels><?xml version="1.0" encoding="UTF-8" standalone="yes"?>
<Relationships xmlns="http://schemas.openxmlformats.org/package/2006/relationships"><Relationship Id="rId3" Type="http://schemas.microsoft.com/office/2011/relationships/chartColorStyle" Target="colors42.xml"/><Relationship Id="rId2" Type="http://schemas.microsoft.com/office/2011/relationships/chartStyle" Target="style42.xml"/><Relationship Id="rId1" Type="http://schemas.openxmlformats.org/officeDocument/2006/relationships/oleObject" Target="file:///C:\Users\fang.com\Desktop\&#20844;&#25253;\22&#24180;&#20844;&#25253;&#22270;&#34920;&#22235;&#20116;&#20845;&#37096;&#20998;.xlsx" TargetMode="External"/></Relationships>
</file>

<file path=word/charts/_rels/chart43.xml.rels><?xml version="1.0" encoding="UTF-8" standalone="yes"?>
<Relationships xmlns="http://schemas.openxmlformats.org/package/2006/relationships"><Relationship Id="rId3" Type="http://schemas.microsoft.com/office/2011/relationships/chartColorStyle" Target="colors43.xml"/><Relationship Id="rId2" Type="http://schemas.microsoft.com/office/2011/relationships/chartStyle" Target="style43.xml"/><Relationship Id="rId1" Type="http://schemas.openxmlformats.org/officeDocument/2006/relationships/oleObject" Target="file:///C:\Users\fang.com\Desktop\&#20844;&#25253;\22&#24180;&#20844;&#25253;&#22270;&#34920;&#22235;&#20116;&#20845;&#37096;&#20998;.xlsx" TargetMode="External"/></Relationships>
</file>

<file path=word/charts/_rels/chart44.xml.rels><?xml version="1.0" encoding="UTF-8" standalone="yes"?>
<Relationships xmlns="http://schemas.openxmlformats.org/package/2006/relationships"><Relationship Id="rId3" Type="http://schemas.microsoft.com/office/2011/relationships/chartColorStyle" Target="colors44.xml"/><Relationship Id="rId2" Type="http://schemas.microsoft.com/office/2011/relationships/chartStyle" Target="style44.xml"/><Relationship Id="rId1" Type="http://schemas.openxmlformats.org/officeDocument/2006/relationships/oleObject" Target="file:///C:\Users\fang.com\Desktop\&#20844;&#25253;\22&#24180;&#20844;&#25253;&#22270;&#34920;&#22235;&#20116;&#20845;&#37096;&#20998;%200915.xlsx" TargetMode="External"/></Relationships>
</file>

<file path=word/charts/_rels/chart45.xml.rels><?xml version="1.0" encoding="UTF-8" standalone="yes"?>
<Relationships xmlns="http://schemas.openxmlformats.org/package/2006/relationships"><Relationship Id="rId3" Type="http://schemas.microsoft.com/office/2011/relationships/chartColorStyle" Target="colors45.xml"/><Relationship Id="rId2" Type="http://schemas.microsoft.com/office/2011/relationships/chartStyle" Target="style45.xml"/><Relationship Id="rId1" Type="http://schemas.openxmlformats.org/officeDocument/2006/relationships/oleObject" Target="file:///C:\Users\fang.com\Desktop\&#20844;&#25253;\22&#24180;&#20844;&#25253;&#22270;&#34920;&#22235;&#20116;&#20845;&#37096;&#20998;.xlsx" TargetMode="External"/></Relationships>
</file>

<file path=word/charts/_rels/chart46.xml.rels><?xml version="1.0" encoding="UTF-8" standalone="yes"?>
<Relationships xmlns="http://schemas.openxmlformats.org/package/2006/relationships"><Relationship Id="rId3" Type="http://schemas.microsoft.com/office/2011/relationships/chartColorStyle" Target="colors46.xml"/><Relationship Id="rId2" Type="http://schemas.microsoft.com/office/2011/relationships/chartStyle" Target="style46.xml"/><Relationship Id="rId1" Type="http://schemas.openxmlformats.org/officeDocument/2006/relationships/oleObject" Target="file:///C:\Users\fang.com\Desktop\&#20844;&#25253;\22&#24180;&#20844;&#25253;&#22270;&#34920;&#22235;&#20116;&#20845;&#37096;&#20998;%200915.xlsx" TargetMode="External"/></Relationships>
</file>

<file path=word/charts/_rels/chart47.xml.rels><?xml version="1.0" encoding="UTF-8" standalone="yes"?>
<Relationships xmlns="http://schemas.openxmlformats.org/package/2006/relationships"><Relationship Id="rId3" Type="http://schemas.microsoft.com/office/2011/relationships/chartColorStyle" Target="colors47.xml"/><Relationship Id="rId2" Type="http://schemas.microsoft.com/office/2011/relationships/chartStyle" Target="style47.xml"/><Relationship Id="rId1" Type="http://schemas.openxmlformats.org/officeDocument/2006/relationships/oleObject" Target="file:///C:\Users\fang.com\Desktop\&#20844;&#25253;\22&#24180;&#20844;&#25253;&#22270;&#34920;&#22235;&#20116;&#20845;&#37096;&#20998;.xlsx" TargetMode="External"/></Relationships>
</file>

<file path=word/charts/_rels/chart48.xml.rels><?xml version="1.0" encoding="UTF-8" standalone="yes"?>
<Relationships xmlns="http://schemas.openxmlformats.org/package/2006/relationships"><Relationship Id="rId3" Type="http://schemas.microsoft.com/office/2011/relationships/chartColorStyle" Target="colors48.xml"/><Relationship Id="rId2" Type="http://schemas.microsoft.com/office/2011/relationships/chartStyle" Target="style48.xml"/><Relationship Id="rId1" Type="http://schemas.openxmlformats.org/officeDocument/2006/relationships/oleObject" Target="file:///C:\Users\fang.com\Desktop\&#20844;&#25253;\22&#24180;&#20844;&#25253;&#22270;&#34920;&#22235;&#20116;&#20845;&#37096;&#20998;%200915.xlsx" TargetMode="External"/></Relationships>
</file>

<file path=word/charts/_rels/chart49.xml.rels><?xml version="1.0" encoding="UTF-8" standalone="yes"?>
<Relationships xmlns="http://schemas.openxmlformats.org/package/2006/relationships"><Relationship Id="rId3" Type="http://schemas.microsoft.com/office/2011/relationships/chartColorStyle" Target="colors49.xml"/><Relationship Id="rId2" Type="http://schemas.microsoft.com/office/2011/relationships/chartStyle" Target="style49.xml"/><Relationship Id="rId1" Type="http://schemas.openxmlformats.org/officeDocument/2006/relationships/oleObject" Target="file:///C:\Users\fang.com\Desktop\&#20844;&#25253;\22&#24180;&#20844;&#25253;&#22270;&#34920;&#22235;&#20116;&#20845;&#37096;&#2099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6.xml"/><Relationship Id="rId2" Type="http://schemas.microsoft.com/office/2011/relationships/chartStyle" Target="style16.xml"/><Relationship Id="rId1" Type="http://schemas.openxmlformats.org/officeDocument/2006/relationships/oleObject" Target="file:///C:\Users\fang.com\Documents\WeChat%20Files\wxid_7686646866912\FileStorage\File\2023-09\22&#20844;&#25253;&#25968;&#25454;-&#21069;&#19977;&#37096;&#20998;091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7.xml"/><Relationship Id="rId2" Type="http://schemas.microsoft.com/office/2011/relationships/chartStyle" Target="style27.xml"/><Relationship Id="rId1" Type="http://schemas.openxmlformats.org/officeDocument/2006/relationships/oleObject" Target="file:///C:\Users\fang.com\Desktop\&#20844;&#25253;\22&#20844;&#25253;&#25968;&#25454;-&#21069;&#19977;&#37096;&#20998;.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6.xml"/><Relationship Id="rId2" Type="http://schemas.microsoft.com/office/2011/relationships/chartStyle" Target="style26.xml"/><Relationship Id="rId1" Type="http://schemas.openxmlformats.org/officeDocument/2006/relationships/oleObject" Target="file:///C:\Users\fang.com\Desktop\&#20844;&#25253;\22&#20844;&#25253;&#25968;&#25454;-&#21069;&#19977;&#37096;&#20998;.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25.xml"/><Relationship Id="rId2" Type="http://schemas.microsoft.com/office/2011/relationships/chartStyle" Target="style25.xml"/><Relationship Id="rId1" Type="http://schemas.openxmlformats.org/officeDocument/2006/relationships/oleObject" Target="file:///C:\Users\fang.com\Documents\WeChat%20Files\wxid_7686646866912\FileStorage\File\2023-09\22&#20844;&#25253;&#25968;&#25454;-&#21069;&#19977;&#37096;&#20998;0915.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15.xml"/><Relationship Id="rId2" Type="http://schemas.microsoft.com/office/2011/relationships/chartStyle" Target="style15.xml"/><Relationship Id="rId1" Type="http://schemas.openxmlformats.org/officeDocument/2006/relationships/oleObject" Target="file:///C:\Users\unive\Desktop\22&#20844;&#25253;&#25968;&#25454;-&#21069;&#19977;&#37096;&#2099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年城市建成区面积及同比变化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2399113282664"/>
          <c:y val="0.0151042731547741"/>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"城市建成区面积"</c:f>
              <c:strCache>
                <c:ptCount val="1"/>
                <c:pt idx="0">
                  <c:v>城市建成区面积</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'[22公报数据-前三部分0915.xlsx]建成区面积'!$A$5:$A$14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'[22公报数据-前三部分0915.xlsx]建成区面积'!$C$5:$C$14</c:f>
              <c:numCache>
                <c:formatCode>0.00_ </c:formatCode>
                <c:ptCount val="10"/>
                <c:pt idx="0">
                  <c:v>4.78553</c:v>
                </c:pt>
                <c:pt idx="1">
                  <c:v>4.977263</c:v>
                </c:pt>
                <c:pt idx="2">
                  <c:v>5.210231</c:v>
                </c:pt>
                <c:pt idx="3">
                  <c:v>5.433147</c:v>
                </c:pt>
                <c:pt idx="4">
                  <c:v>5.62254</c:v>
                </c:pt>
                <c:pt idx="5">
                  <c:v>5.845566</c:v>
                </c:pt>
                <c:pt idx="6">
                  <c:v>6.031245</c:v>
                </c:pt>
                <c:pt idx="7">
                  <c:v>6.072132</c:v>
                </c:pt>
                <c:pt idx="8">
                  <c:v>6.242053</c:v>
                </c:pt>
                <c:pt idx="9">
                  <c:v>6.36764</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5400" cap="rnd">
              <a:solidFill>
                <a:srgbClr val="002060"/>
              </a:solidFill>
              <a:round/>
            </a:ln>
            <a:effectLst/>
            <a:sp3d contourW="25400"/>
          </c:spPr>
          <c:marker>
            <c:symbol val="circle"/>
            <c:size val="5"/>
            <c:spPr>
              <a:solidFill>
                <a:schemeClr val="bg1"/>
              </a:solidFill>
              <a:ln w="9525">
                <a:solidFill>
                  <a:srgbClr val="002060"/>
                </a:solidFill>
              </a:ln>
              <a:effectLst/>
            </c:spPr>
          </c:marker>
          <c:dLbls>
            <c:delete val="1"/>
          </c:dLbls>
          <c:cat>
            <c:numRef>
              <c:f>'[22公报数据-前三部分0915.xlsx]建成区面积'!$A$5:$A$14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'[22公报数据-前三部分0915.xlsx]建成区面积'!$D$5:$D$14</c:f>
              <c:numCache>
                <c:formatCode>0.00%</c:formatCode>
                <c:ptCount val="10"/>
                <c:pt idx="0">
                  <c:v>0.0502460178467183</c:v>
                </c:pt>
                <c:pt idx="1">
                  <c:v>0.0400651547477497</c:v>
                </c:pt>
                <c:pt idx="2">
                  <c:v>0.0468064476399981</c:v>
                </c:pt>
                <c:pt idx="3">
                  <c:v>0.0427842834607526</c:v>
                </c:pt>
                <c:pt idx="4">
                  <c:v>0.0348588028264283</c:v>
                </c:pt>
                <c:pt idx="5">
                  <c:v>0.0396664141117717</c:v>
                </c:pt>
                <c:pt idx="6">
                  <c:v>0.0317640755403323</c:v>
                </c:pt>
                <c:pt idx="7">
                  <c:v>0.00677919732990451</c:v>
                </c:pt>
                <c:pt idx="8">
                  <c:v>0.0279837460713963</c:v>
                </c:pt>
                <c:pt idx="9">
                  <c:v>0.0201195023496274</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in val="4"/>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万平方公里</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majorUnit val="0.02"/>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01851794976795"/>
          <c:y val="0.15127060354590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mn-lt"/>
                <a:ea typeface="+mn-ea"/>
                <a:cs typeface="+mn-cs"/>
              </a:defRPr>
            </a:pPr>
            <a:r>
              <a:rPr lang="en-US" altLang="zh-CN" sz="1200">
                <a:solidFill>
                  <a:sysClr val="windowText" lastClr="000000"/>
                </a:solidFill>
              </a:rPr>
              <a:t>2022</a:t>
            </a:r>
            <a:r>
              <a:rPr altLang="en-US" sz="1200">
                <a:solidFill>
                  <a:sysClr val="windowText" lastClr="000000"/>
                </a:solidFill>
              </a:rPr>
              <a:t>年全国分省（区、市）和新疆兵团实际到位资金合计</a:t>
            </a:r>
            <a:endParaRPr lang="en-US" altLang="zh-CN" sz="1200">
              <a:solidFill>
                <a:sysClr val="windowText" lastClr="000000"/>
              </a:solidFill>
            </a:endParaRPr>
          </a:p>
        </c:rich>
      </c:tx>
      <c:layout>
        <c:manualLayout>
          <c:xMode val="edge"/>
          <c:yMode val="edge"/>
          <c:x val="0.186093994238856"/>
          <c:y val="0.00888362451880367"/>
        </c:manualLayout>
      </c:layout>
      <c:overlay val="0"/>
      <c:spPr>
        <a:noFill/>
        <a:ln>
          <a:noFill/>
        </a:ln>
        <a:effectLst/>
      </c:spPr>
    </c:title>
    <c:autoTitleDeleted val="0"/>
    <c:plotArea>
      <c:layout>
        <c:manualLayout>
          <c:layoutTarget val="inner"/>
          <c:xMode val="edge"/>
          <c:yMode val="edge"/>
          <c:x val="0.119590361445783"/>
          <c:y val="0.170874496889865"/>
          <c:w val="0.854867469879518"/>
          <c:h val="0.494109037687523"/>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'[22公报数据-前三部分.xlsx]资金来源'!$A$32:$A$63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'[22公报数据-前三部分.xlsx]资金来源'!$D$32:$D$63</c:f>
              <c:numCache>
                <c:formatCode>0_ </c:formatCode>
                <c:ptCount val="32"/>
                <c:pt idx="0">
                  <c:v>1226.8215</c:v>
                </c:pt>
                <c:pt idx="1">
                  <c:v>452.2051</c:v>
                </c:pt>
                <c:pt idx="2">
                  <c:v>1061.2434</c:v>
                </c:pt>
                <c:pt idx="3">
                  <c:v>447.7849</c:v>
                </c:pt>
                <c:pt idx="4">
                  <c:v>208.2931</c:v>
                </c:pt>
                <c:pt idx="5">
                  <c:v>264.1158</c:v>
                </c:pt>
                <c:pt idx="6">
                  <c:v>431.7986</c:v>
                </c:pt>
                <c:pt idx="7">
                  <c:v>284.879</c:v>
                </c:pt>
                <c:pt idx="8">
                  <c:v>537.7062</c:v>
                </c:pt>
                <c:pt idx="9">
                  <c:v>2219.572</c:v>
                </c:pt>
                <c:pt idx="10">
                  <c:v>2198.28768</c:v>
                </c:pt>
                <c:pt idx="11">
                  <c:v>1467.2198</c:v>
                </c:pt>
                <c:pt idx="12">
                  <c:v>836.8868</c:v>
                </c:pt>
                <c:pt idx="13">
                  <c:v>1208.7104</c:v>
                </c:pt>
                <c:pt idx="14">
                  <c:v>1615.4661</c:v>
                </c:pt>
                <c:pt idx="15">
                  <c:v>1006.59328</c:v>
                </c:pt>
                <c:pt idx="16">
                  <c:v>1298.3791</c:v>
                </c:pt>
                <c:pt idx="17">
                  <c:v>848.7815</c:v>
                </c:pt>
                <c:pt idx="18">
                  <c:v>1991.4199</c:v>
                </c:pt>
                <c:pt idx="19">
                  <c:v>343.8335</c:v>
                </c:pt>
                <c:pt idx="20">
                  <c:v>123.6765</c:v>
                </c:pt>
                <c:pt idx="21">
                  <c:v>1448.8263</c:v>
                </c:pt>
                <c:pt idx="22">
                  <c:v>1991.6846</c:v>
                </c:pt>
                <c:pt idx="23">
                  <c:v>802.9099</c:v>
                </c:pt>
                <c:pt idx="24">
                  <c:v>310.5211</c:v>
                </c:pt>
                <c:pt idx="25">
                  <c:v>76.9506</c:v>
                </c:pt>
                <c:pt idx="26">
                  <c:v>1242.9149</c:v>
                </c:pt>
                <c:pt idx="27">
                  <c:v>350.0886</c:v>
                </c:pt>
                <c:pt idx="28">
                  <c:v>61.3645</c:v>
                </c:pt>
                <c:pt idx="29">
                  <c:v>42.7248</c:v>
                </c:pt>
                <c:pt idx="30">
                  <c:v>291.2842</c:v>
                </c:pt>
                <c:pt idx="31">
                  <c:v>50.3144</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mongolianVert" wrap="square" anchor="ctr" anchorCtr="1"/>
              <a:lstStyle/>
              <a:p>
                <a:pPr defTabSz="914400">
                  <a:defRPr lang="zh-CN" sz="1000" b="0" i="0" u="none" strike="noStrike" kern="1200" baseline="0">
                    <a:solidFill>
                      <a:sysClr val="windowText" lastClr="000000"/>
                    </a:solidFill>
                    <a:latin typeface="+mn-lt"/>
                    <a:ea typeface="+mn-ea"/>
                    <a:cs typeface="+mn-cs"/>
                  </a:defRPr>
                </a:pPr>
                <a:r>
                  <a:t>亿元</a:t>
                </a:r>
              </a:p>
            </c:rich>
          </c:tx>
          <c:layout>
            <c:manualLayout>
              <c:xMode val="edge"/>
              <c:yMode val="edge"/>
              <c:x val="0.0142867857318401"/>
              <c:y val="0.291572697917736"/>
            </c:manualLayout>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1000"/>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年全国城市人均日生活用水量</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1944444444444"/>
          <c:y val="0.00972762645914397"/>
        </c:manualLayout>
      </c:layout>
      <c:overlay val="0"/>
      <c:spPr>
        <a:noFill/>
        <a:ln>
          <a:noFill/>
        </a:ln>
        <a:effectLst/>
      </c:spPr>
    </c:title>
    <c:autoTitleDeleted val="0"/>
    <c:plotArea>
      <c:layout>
        <c:manualLayout>
          <c:layoutTarget val="inner"/>
          <c:xMode val="edge"/>
          <c:yMode val="edge"/>
          <c:x val="0.0978611111111111"/>
          <c:y val="0.142671854734112"/>
          <c:w val="0.856583333333333"/>
          <c:h val="0.709273670557717"/>
        </c:manualLayout>
      </c:layout>
      <c:barChart>
        <c:barDir val="col"/>
        <c:grouping val="clustered"/>
        <c:varyColors val="0"/>
        <c:ser>
          <c:idx val="1"/>
          <c:order val="0"/>
          <c:spPr>
            <a:solidFill>
              <a:srgbClr val="C00000"/>
            </a:solidFill>
            <a:ln>
              <a:noFill/>
            </a:ln>
            <a:effectLst/>
          </c:spPr>
          <c:invertIfNegative val="0"/>
          <c:dLbls>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'[22公报数据-前三部分0915.xlsx]人均日生活用水量'!$A$5:$A$14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'[22公报数据-前三部分0915.xlsx]人均日生活用水量'!$C$5:$C$14</c:f>
              <c:numCache>
                <c:formatCode>#,##0.00_ </c:formatCode>
                <c:ptCount val="10"/>
                <c:pt idx="0">
                  <c:v>173.51</c:v>
                </c:pt>
                <c:pt idx="1">
                  <c:v>173.73</c:v>
                </c:pt>
                <c:pt idx="2">
                  <c:v>174.46</c:v>
                </c:pt>
                <c:pt idx="3">
                  <c:v>176.86</c:v>
                </c:pt>
                <c:pt idx="4">
                  <c:v>178.89</c:v>
                </c:pt>
                <c:pt idx="5">
                  <c:v>179.736542465425</c:v>
                </c:pt>
                <c:pt idx="6">
                  <c:v>179.965286964322</c:v>
                </c:pt>
                <c:pt idx="7">
                  <c:v>179.395736536233</c:v>
                </c:pt>
                <c:pt idx="8">
                  <c:v>185.03</c:v>
                </c:pt>
                <c:pt idx="9" c:formatCode="#,##0.00">
                  <c:v>184.732041558371</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升</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年全国城市供水普及率</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52926820423557"/>
          <c:y val="0.0222602739726028"/>
        </c:manualLayout>
      </c:layout>
      <c:overlay val="0"/>
      <c:spPr>
        <a:noFill/>
        <a:ln>
          <a:noFill/>
        </a:ln>
        <a:effectLst/>
      </c:spPr>
    </c:title>
    <c:autoTitleDeleted val="0"/>
    <c:plotArea>
      <c:layout>
        <c:manualLayout>
          <c:layoutTarget val="inner"/>
          <c:xMode val="edge"/>
          <c:yMode val="edge"/>
          <c:x val="0.0892950391644909"/>
          <c:y val="0.135373934995267"/>
          <c:w val="0.886916158978822"/>
          <c:h val="0.694351530451246"/>
        </c:manualLayout>
      </c:layout>
      <c:barChart>
        <c:barDir val="col"/>
        <c:grouping val="clustered"/>
        <c:varyColors val="0"/>
        <c:ser>
          <c:idx val="1"/>
          <c:order val="0"/>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'[22公报数据-前三部分0915.xlsx]城市供水普及率'!$A$5:$A$14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'[22公报数据-前三部分0915.xlsx]城市供水普及率'!$C$5:$C$14</c:f>
              <c:numCache>
                <c:formatCode>0.00%</c:formatCode>
                <c:ptCount val="10"/>
                <c:pt idx="0">
                  <c:v>0.9756</c:v>
                </c:pt>
                <c:pt idx="1">
                  <c:v>0.9764</c:v>
                </c:pt>
                <c:pt idx="2">
                  <c:v>0.9807</c:v>
                </c:pt>
                <c:pt idx="3">
                  <c:v>0.9842</c:v>
                </c:pt>
                <c:pt idx="4">
                  <c:v>0.983</c:v>
                </c:pt>
                <c:pt idx="5">
                  <c:v>0.983555978176296</c:v>
                </c:pt>
                <c:pt idx="6">
                  <c:v>0.987836254855425</c:v>
                </c:pt>
                <c:pt idx="7">
                  <c:v>0.989851935235709</c:v>
                </c:pt>
                <c:pt idx="8">
                  <c:v>0.993792068083718</c:v>
                </c:pt>
                <c:pt idx="9">
                  <c:v>0.993868450686223</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0.01"/>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年全国分省（区、市）和新疆兵团城市人均生活用水量</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7275782033378"/>
          <c:y val="0.00897934750074828"/>
        </c:manualLayout>
      </c:layout>
      <c:overlay val="0"/>
      <c:spPr>
        <a:noFill/>
        <a:ln>
          <a:noFill/>
        </a:ln>
        <a:effectLst/>
      </c:spPr>
    </c:title>
    <c:autoTitleDeleted val="0"/>
    <c:plotArea>
      <c:layout>
        <c:manualLayout>
          <c:layoutTarget val="inner"/>
          <c:xMode val="edge"/>
          <c:yMode val="edge"/>
          <c:x val="0.0840380677026864"/>
          <c:y val="0.284275503573749"/>
          <c:w val="0.886808818214673"/>
          <c:h val="0.41825860948668"/>
        </c:manualLayout>
      </c:layout>
      <c:barChart>
        <c:barDir val="col"/>
        <c:grouping val="clustered"/>
        <c:varyColors val="0"/>
        <c:ser>
          <c:idx val="0"/>
          <c:order val="0"/>
          <c:tx>
            <c:strRef>
              <c:f>"城市人均日生活用水量"</c:f>
              <c:strCache>
                <c:ptCount val="1"/>
                <c:pt idx="0">
                  <c:v>城市人均日生活用水量</c:v>
                </c:pt>
              </c:strCache>
            </c:strRef>
          </c:tx>
          <c:spPr>
            <a:solidFill>
              <a:srgbClr val="C00000"/>
            </a:solidFill>
            <a:ln>
              <a:noFill/>
            </a:ln>
            <a:effectLst/>
          </c:spPr>
          <c:invertIfNegative val="0"/>
          <c:dLbls>
            <c:numFmt formatCode="#,##0_);[Red]\(#,##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'[22公报数据-前三部分.xlsx]人均日生活用水量'!$B$22:$B$53</c:f>
              <c:numCache>
                <c:formatCode>#,##0</c:formatCode>
                <c:ptCount val="32"/>
                <c:pt idx="0">
                  <c:v>163.220662236184</c:v>
                </c:pt>
                <c:pt idx="1">
                  <c:v>122.808031422088</c:v>
                </c:pt>
                <c:pt idx="2">
                  <c:v>123.311768542268</c:v>
                </c:pt>
                <c:pt idx="3">
                  <c:v>136.521884767322</c:v>
                </c:pt>
                <c:pt idx="4">
                  <c:v>119.250942247026</c:v>
                </c:pt>
                <c:pt idx="5">
                  <c:v>155.813673202129</c:v>
                </c:pt>
                <c:pt idx="6">
                  <c:v>121.833719681276</c:v>
                </c:pt>
                <c:pt idx="7">
                  <c:v>127.277769382881</c:v>
                </c:pt>
                <c:pt idx="8">
                  <c:v>207.038498457203</c:v>
                </c:pt>
                <c:pt idx="9">
                  <c:v>211.537843155996</c:v>
                </c:pt>
                <c:pt idx="10">
                  <c:v>215.04746677654</c:v>
                </c:pt>
                <c:pt idx="11">
                  <c:v>194.310747270593</c:v>
                </c:pt>
                <c:pt idx="12">
                  <c:v>228.884254516827</c:v>
                </c:pt>
                <c:pt idx="13">
                  <c:v>222.481531050281</c:v>
                </c:pt>
                <c:pt idx="14">
                  <c:v>126.223523087528</c:v>
                </c:pt>
                <c:pt idx="15">
                  <c:v>139.892445016342</c:v>
                </c:pt>
                <c:pt idx="16">
                  <c:v>199.925983794044</c:v>
                </c:pt>
                <c:pt idx="17">
                  <c:v>217.072670008733</c:v>
                </c:pt>
                <c:pt idx="18">
                  <c:v>241.528626505063</c:v>
                </c:pt>
                <c:pt idx="19">
                  <c:v>273.730054519907</c:v>
                </c:pt>
                <c:pt idx="20">
                  <c:v>287.036704201799</c:v>
                </c:pt>
                <c:pt idx="21">
                  <c:v>180.765093631878</c:v>
                </c:pt>
                <c:pt idx="22">
                  <c:v>195.314117250846</c:v>
                </c:pt>
                <c:pt idx="23">
                  <c:v>175.802597707365</c:v>
                </c:pt>
                <c:pt idx="24">
                  <c:v>186.592995591083</c:v>
                </c:pt>
                <c:pt idx="25">
                  <c:v>245.664583390035</c:v>
                </c:pt>
                <c:pt idx="26">
                  <c:v>162.504350788613</c:v>
                </c:pt>
                <c:pt idx="27">
                  <c:v>138.878655808321</c:v>
                </c:pt>
                <c:pt idx="28">
                  <c:v>174.902945775156</c:v>
                </c:pt>
                <c:pt idx="29">
                  <c:v>165.80214179602</c:v>
                </c:pt>
                <c:pt idx="30">
                  <c:v>158.885978459255</c:v>
                </c:pt>
                <c:pt idx="31">
                  <c:v>207.814765246832</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"全国城市人均日生活用水量184.7升"</c:f>
              <c:strCache>
                <c:ptCount val="1"/>
                <c:pt idx="0">
                  <c:v>全国城市人均日生活用水量184.7升</c:v>
                </c:pt>
              </c:strCache>
            </c:strRef>
          </c:tx>
          <c:spPr>
            <a:ln w="15875" cap="rnd">
              <a:solidFill>
                <a:srgbClr val="002060"/>
              </a:solidFill>
              <a:prstDash val="dash"/>
              <a:round/>
            </a:ln>
            <a:effectLst/>
            <a:sp3d contourW="15875"/>
          </c:spPr>
          <c:marker>
            <c:symbol val="none"/>
          </c:marker>
          <c:dLbls>
            <c:delete val="1"/>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'[22公报数据-前三部分.xlsx]人均日生活用水量'!$D$22:$D$53</c:f>
              <c:numCache>
                <c:formatCode>#,##0.00</c:formatCode>
                <c:ptCount val="32"/>
                <c:pt idx="0">
                  <c:v>184.732041558371</c:v>
                </c:pt>
                <c:pt idx="1">
                  <c:v>184.732041558371</c:v>
                </c:pt>
                <c:pt idx="2">
                  <c:v>184.732041558371</c:v>
                </c:pt>
                <c:pt idx="3">
                  <c:v>184.732041558371</c:v>
                </c:pt>
                <c:pt idx="4">
                  <c:v>184.732041558371</c:v>
                </c:pt>
                <c:pt idx="5">
                  <c:v>184.732041558371</c:v>
                </c:pt>
                <c:pt idx="6">
                  <c:v>184.732041558371</c:v>
                </c:pt>
                <c:pt idx="7">
                  <c:v>184.732041558371</c:v>
                </c:pt>
                <c:pt idx="8">
                  <c:v>184.732041558371</c:v>
                </c:pt>
                <c:pt idx="9">
                  <c:v>184.732041558371</c:v>
                </c:pt>
                <c:pt idx="10">
                  <c:v>184.732041558371</c:v>
                </c:pt>
                <c:pt idx="11">
                  <c:v>184.732041558371</c:v>
                </c:pt>
                <c:pt idx="12">
                  <c:v>184.732041558371</c:v>
                </c:pt>
                <c:pt idx="13">
                  <c:v>184.732041558371</c:v>
                </c:pt>
                <c:pt idx="14">
                  <c:v>184.732041558371</c:v>
                </c:pt>
                <c:pt idx="15">
                  <c:v>184.732041558371</c:v>
                </c:pt>
                <c:pt idx="16">
                  <c:v>184.732041558371</c:v>
                </c:pt>
                <c:pt idx="17">
                  <c:v>184.732041558371</c:v>
                </c:pt>
                <c:pt idx="18">
                  <c:v>184.732041558371</c:v>
                </c:pt>
                <c:pt idx="19">
                  <c:v>184.732041558371</c:v>
                </c:pt>
                <c:pt idx="20">
                  <c:v>184.732041558371</c:v>
                </c:pt>
                <c:pt idx="21">
                  <c:v>184.732041558371</c:v>
                </c:pt>
                <c:pt idx="22">
                  <c:v>184.732041558371</c:v>
                </c:pt>
                <c:pt idx="23">
                  <c:v>184.732041558371</c:v>
                </c:pt>
                <c:pt idx="24">
                  <c:v>184.732041558371</c:v>
                </c:pt>
                <c:pt idx="25">
                  <c:v>184.732041558371</c:v>
                </c:pt>
                <c:pt idx="26">
                  <c:v>184.732041558371</c:v>
                </c:pt>
                <c:pt idx="27">
                  <c:v>184.732041558371</c:v>
                </c:pt>
                <c:pt idx="28">
                  <c:v>184.732041558371</c:v>
                </c:pt>
                <c:pt idx="29">
                  <c:v>184.732041558371</c:v>
                </c:pt>
                <c:pt idx="30">
                  <c:v>184.732041558371</c:v>
                </c:pt>
                <c:pt idx="31">
                  <c:v>184.732041558371</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升</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25876010781671"/>
          <c:y val="0.12452720395693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年全国分省（区、市）和新疆兵团城市供水普及率</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5743589926187"/>
          <c:y val="0.00872854233343033"/>
        </c:manualLayout>
      </c:layout>
      <c:overlay val="0"/>
      <c:spPr>
        <a:noFill/>
        <a:ln>
          <a:noFill/>
        </a:ln>
        <a:effectLst/>
      </c:spPr>
    </c:title>
    <c:autoTitleDeleted val="0"/>
    <c:plotArea>
      <c:layout>
        <c:manualLayout>
          <c:layoutTarget val="inner"/>
          <c:xMode val="edge"/>
          <c:yMode val="edge"/>
          <c:x val="0.0755212727491864"/>
          <c:y val="0.297024442082891"/>
          <c:w val="0.872773291551163"/>
          <c:h val="0.43634431455898"/>
        </c:manualLayout>
      </c:layout>
      <c:barChart>
        <c:barDir val="col"/>
        <c:grouping val="clustered"/>
        <c:varyColors val="0"/>
        <c:ser>
          <c:idx val="0"/>
          <c:order val="0"/>
          <c:tx>
            <c:strRef>
              <c:f>"城市供水普及率"</c:f>
              <c:strCache>
                <c:ptCount val="1"/>
                <c:pt idx="0">
                  <c:v>城市供水普及率</c:v>
                </c:pt>
              </c:strCache>
            </c:strRef>
          </c:tx>
          <c:spPr>
            <a:solidFill>
              <a:srgbClr val="C00000"/>
            </a:solidFill>
            <a:ln>
              <a:noFill/>
            </a:ln>
            <a:effectLst/>
          </c:spPr>
          <c:invertIfNegative val="0"/>
          <c:dLbls>
            <c:dLbl>
              <c:idx val="1"/>
              <c:layout/>
              <c:tx>
                <c:rich>
                  <a:bodyPr rot="0" spcFirstLastPara="0" vertOverflow="ellipsis" vert="eaVert" wrap="square" lIns="38100" tIns="19050" rIns="38100" bIns="19050" anchor="ctr" anchorCtr="1"/>
                  <a:lstStyle/>
                  <a:p>
                    <a:pPr defTabSz="914400">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t>100.0</a:t>
                    </a:r>
                    <a:r>
                      <a:t> </a:t>
                    </a:r>
                  </a:p>
                </c:rich>
              </c:tx>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eparator>;</c:separator>
              <c:extLst>
                <c:ext xmlns:c15="http://schemas.microsoft.com/office/drawing/2012/chart" uri="{CE6537A1-D6FC-4f65-9D91-7224C49458BB}"/>
              </c:extLst>
            </c:dLbl>
            <c:dLbl>
              <c:idx val="2"/>
              <c:layout/>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eparator>;</c:separator>
              <c:extLst>
                <c:ext xmlns:c15="http://schemas.microsoft.com/office/drawing/2012/chart" uri="{CE6537A1-D6FC-4f65-9D91-7224C49458BB}"/>
              </c:extLst>
            </c:dLbl>
            <c:dLbl>
              <c:idx val="8"/>
              <c:layout/>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eparator>;</c:separator>
              <c:extLst>
                <c:ext xmlns:c15="http://schemas.microsoft.com/office/drawing/2012/chart" uri="{CE6537A1-D6FC-4f65-9D91-7224C49458BB}"/>
              </c:extLst>
            </c:dLbl>
            <c:dLbl>
              <c:idx val="9"/>
              <c:layout/>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eparator>;</c:separator>
              <c:extLst>
                <c:ext xmlns:c15="http://schemas.microsoft.com/office/drawing/2012/chart" uri="{CE6537A1-D6FC-4f65-9D91-7224C49458BB}"/>
              </c:extLst>
            </c:dLbl>
            <c:dLbl>
              <c:idx val="10"/>
              <c:layout/>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eparator>;</c:separator>
              <c:extLst>
                <c:ext xmlns:c15="http://schemas.microsoft.com/office/drawing/2012/chart" uri="{CE6537A1-D6FC-4f65-9D91-7224C49458BB}"/>
              </c:extLst>
            </c:dLbl>
            <c:dLbl>
              <c:idx val="18"/>
              <c:layout/>
              <c:tx>
                <c:rich>
                  <a:bodyPr rot="0" spcFirstLastPara="0" vertOverflow="ellipsis" vert="eaVert" wrap="square" lIns="38100" tIns="19050" rIns="38100" bIns="19050" anchor="ctr" anchorCtr="1"/>
                  <a:lstStyle/>
                  <a:p>
                    <a:pPr defTabSz="914400">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900"/>
                      <a:t>99.7</a:t>
                    </a:r>
                    <a:r>
                      <a:rPr sz="900"/>
                      <a:t> </a:t>
                    </a:r>
                    <a:endParaRPr sz="900"/>
                  </a:p>
                </c:rich>
              </c:tx>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eparator>;</c:separator>
              <c:extLst>
                <c:ext xmlns:c15="http://schemas.microsoft.com/office/drawing/2012/chart" uri="{CE6537A1-D6FC-4f65-9D91-7224C49458BB}"/>
              </c:extLst>
            </c:dLbl>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eparator>;</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'[22公报数据-前三部分0919.xlsx]建成区面积'!$A$31:$A$62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'[22公报数据-前三部分0919.xlsx]城市供水普及率'!$B$22:$B$53</c:f>
              <c:numCache>
                <c:formatCode>#,##0.0</c:formatCode>
                <c:ptCount val="32"/>
                <c:pt idx="0">
                  <c:v>99.8123170221665</c:v>
                </c:pt>
                <c:pt idx="1">
                  <c:v>100</c:v>
                </c:pt>
                <c:pt idx="2">
                  <c:v>100</c:v>
                </c:pt>
                <c:pt idx="3">
                  <c:v>98.6555422750318</c:v>
                </c:pt>
                <c:pt idx="4">
                  <c:v>99.6965033769343</c:v>
                </c:pt>
                <c:pt idx="5">
                  <c:v>98.9932713983195</c:v>
                </c:pt>
                <c:pt idx="6">
                  <c:v>96.4572409826363</c:v>
                </c:pt>
                <c:pt idx="7">
                  <c:v>99.1043670279222</c:v>
                </c:pt>
                <c:pt idx="8">
                  <c:v>100</c:v>
                </c:pt>
                <c:pt idx="9">
                  <c:v>100</c:v>
                </c:pt>
                <c:pt idx="10">
                  <c:v>100</c:v>
                </c:pt>
                <c:pt idx="11">
                  <c:v>99.7596412005666</c:v>
                </c:pt>
                <c:pt idx="12">
                  <c:v>99.9</c:v>
                </c:pt>
                <c:pt idx="13">
                  <c:v>99.3682792386492</c:v>
                </c:pt>
                <c:pt idx="14">
                  <c:v>99.9220537396162</c:v>
                </c:pt>
                <c:pt idx="15">
                  <c:v>99.3034429221828</c:v>
                </c:pt>
                <c:pt idx="16">
                  <c:v>99.9297446979844</c:v>
                </c:pt>
                <c:pt idx="17">
                  <c:v>99.0071997359409</c:v>
                </c:pt>
                <c:pt idx="18">
                  <c:v>99.7381834260569</c:v>
                </c:pt>
                <c:pt idx="19">
                  <c:v>99.9107992833959</c:v>
                </c:pt>
                <c:pt idx="20">
                  <c:v>99.9</c:v>
                </c:pt>
                <c:pt idx="21">
                  <c:v>98.574343122102</c:v>
                </c:pt>
                <c:pt idx="22">
                  <c:v>97.1790796340563</c:v>
                </c:pt>
                <c:pt idx="23">
                  <c:v>98.8842077545915</c:v>
                </c:pt>
                <c:pt idx="24">
                  <c:v>99.007273806873</c:v>
                </c:pt>
                <c:pt idx="25">
                  <c:v>99.6976647206005</c:v>
                </c:pt>
                <c:pt idx="26">
                  <c:v>98.2522056163202</c:v>
                </c:pt>
                <c:pt idx="27">
                  <c:v>99.5025166803231</c:v>
                </c:pt>
                <c:pt idx="28">
                  <c:v>99.5695503672858</c:v>
                </c:pt>
                <c:pt idx="29">
                  <c:v>99.9</c:v>
                </c:pt>
                <c:pt idx="30">
                  <c:v>99.6987142807095</c:v>
                </c:pt>
                <c:pt idx="31">
                  <c:v>97.8829277119334</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"全国城市供水普及率99.4%"</c:f>
              <c:strCache>
                <c:ptCount val="1"/>
                <c:pt idx="0">
                  <c:v>全国城市供水普及率99.4%</c:v>
                </c:pt>
              </c:strCache>
            </c:strRef>
          </c:tx>
          <c:spPr>
            <a:ln w="15875" cap="rnd">
              <a:solidFill>
                <a:srgbClr val="002060"/>
              </a:solidFill>
              <a:prstDash val="dash"/>
              <a:round/>
            </a:ln>
            <a:effectLst/>
            <a:sp3d contourW="15875"/>
          </c:spPr>
          <c:marker>
            <c:symbol val="none"/>
          </c:marker>
          <c:dLbls>
            <c:delete val="1"/>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'[22公报数据-前三部分0919.xlsx]城市供水普及率'!$D$22:$D$53</c:f>
              <c:numCache>
                <c:formatCode>#,##0.0</c:formatCode>
                <c:ptCount val="32"/>
                <c:pt idx="0">
                  <c:v>99.38</c:v>
                </c:pt>
                <c:pt idx="1">
                  <c:v>99.38</c:v>
                </c:pt>
                <c:pt idx="2">
                  <c:v>99.38</c:v>
                </c:pt>
                <c:pt idx="3">
                  <c:v>99.38</c:v>
                </c:pt>
                <c:pt idx="4">
                  <c:v>99.38</c:v>
                </c:pt>
                <c:pt idx="5">
                  <c:v>99.38</c:v>
                </c:pt>
                <c:pt idx="6">
                  <c:v>99.38</c:v>
                </c:pt>
                <c:pt idx="7">
                  <c:v>99.38</c:v>
                </c:pt>
                <c:pt idx="8">
                  <c:v>99.38</c:v>
                </c:pt>
                <c:pt idx="9">
                  <c:v>99.38</c:v>
                </c:pt>
                <c:pt idx="10">
                  <c:v>99.38</c:v>
                </c:pt>
                <c:pt idx="11">
                  <c:v>99.38</c:v>
                </c:pt>
                <c:pt idx="12">
                  <c:v>99.38</c:v>
                </c:pt>
                <c:pt idx="13">
                  <c:v>99.38</c:v>
                </c:pt>
                <c:pt idx="14">
                  <c:v>99.38</c:v>
                </c:pt>
                <c:pt idx="15">
                  <c:v>99.38</c:v>
                </c:pt>
                <c:pt idx="16">
                  <c:v>99.38</c:v>
                </c:pt>
                <c:pt idx="17">
                  <c:v>99.38</c:v>
                </c:pt>
                <c:pt idx="18">
                  <c:v>99.38</c:v>
                </c:pt>
                <c:pt idx="19">
                  <c:v>99.38</c:v>
                </c:pt>
                <c:pt idx="20">
                  <c:v>99.38</c:v>
                </c:pt>
                <c:pt idx="21">
                  <c:v>99.38</c:v>
                </c:pt>
                <c:pt idx="22">
                  <c:v>99.38</c:v>
                </c:pt>
                <c:pt idx="23">
                  <c:v>99.38</c:v>
                </c:pt>
                <c:pt idx="24">
                  <c:v>99.38</c:v>
                </c:pt>
                <c:pt idx="25">
                  <c:v>99.38</c:v>
                </c:pt>
                <c:pt idx="26">
                  <c:v>99.38</c:v>
                </c:pt>
                <c:pt idx="27">
                  <c:v>99.38</c:v>
                </c:pt>
                <c:pt idx="28">
                  <c:v>99.38</c:v>
                </c:pt>
                <c:pt idx="29">
                  <c:v>99.38</c:v>
                </c:pt>
                <c:pt idx="30">
                  <c:v>99.38</c:v>
                </c:pt>
                <c:pt idx="31">
                  <c:v>99.38</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100"/>
          <c:min val="95"/>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60646900269542"/>
          <c:y val="0.081941706708016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年城市人工煤气供气总量及同比变化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159013441378867"/>
        </c:manualLayout>
      </c:layout>
      <c:overlay val="0"/>
      <c:spPr>
        <a:noFill/>
        <a:ln>
          <a:noFill/>
        </a:ln>
        <a:effectLst/>
      </c:spPr>
    </c:title>
    <c:autoTitleDeleted val="0"/>
    <c:plotArea>
      <c:layout>
        <c:manualLayout>
          <c:layoutTarget val="inner"/>
          <c:xMode val="edge"/>
          <c:yMode val="edge"/>
          <c:x val="0.0875963749492763"/>
          <c:y val="0.171827411167513"/>
          <c:w val="0.833193561477073"/>
          <c:h val="0.709492385786802"/>
        </c:manualLayout>
      </c:layout>
      <c:barChart>
        <c:barDir val="col"/>
        <c:grouping val="clustered"/>
        <c:varyColors val="0"/>
        <c:ser>
          <c:idx val="1"/>
          <c:order val="0"/>
          <c:tx>
            <c:strRef>
              <c:f>"城市人工煤气供气总量"</c:f>
              <c:strCache>
                <c:ptCount val="1"/>
                <c:pt idx="0">
                  <c:v>城市人工煤气供气总量</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'[22公报数据-前三部分0915.xlsx]燃气供气总量'!$A$5:$A$14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'[22公报数据-前三部分0915.xlsx]燃气供气总量'!$C$5:$C$14</c:f>
              <c:numCache>
                <c:formatCode>0.00_ </c:formatCode>
                <c:ptCount val="10"/>
                <c:pt idx="0">
                  <c:v>62.7989</c:v>
                </c:pt>
                <c:pt idx="1">
                  <c:v>55.951269</c:v>
                </c:pt>
                <c:pt idx="2">
                  <c:v>47.137801</c:v>
                </c:pt>
                <c:pt idx="3">
                  <c:v>44.0944</c:v>
                </c:pt>
                <c:pt idx="4">
                  <c:v>27.0882</c:v>
                </c:pt>
                <c:pt idx="5">
                  <c:v>29.7893</c:v>
                </c:pt>
                <c:pt idx="6">
                  <c:v>27.684147</c:v>
                </c:pt>
                <c:pt idx="7">
                  <c:v>23.144726</c:v>
                </c:pt>
                <c:pt idx="8">
                  <c:v>18.723418</c:v>
                </c:pt>
                <c:pt idx="9">
                  <c:v>18.144971</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'[22公报数据-前三部分0915.xlsx]燃气供气总量'!$A$5:$A$14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'[22公报数据-前三部分0915.xlsx]燃气供气总量'!$D$5:$D$14</c:f>
              <c:numCache>
                <c:formatCode>0.00%</c:formatCode>
                <c:ptCount val="10"/>
                <c:pt idx="0">
                  <c:v>-0.184097151305857</c:v>
                </c:pt>
                <c:pt idx="1">
                  <c:v>-0.109040620138251</c:v>
                </c:pt>
                <c:pt idx="2">
                  <c:v>-0.157520430859218</c:v>
                </c:pt>
                <c:pt idx="3">
                  <c:v>-0.064563915486851</c:v>
                </c:pt>
                <c:pt idx="4">
                  <c:v>-0.385677092782757</c:v>
                </c:pt>
                <c:pt idx="5">
                  <c:v>0.0997150050575528</c:v>
                </c:pt>
                <c:pt idx="6">
                  <c:v>-0.07066809223446</c:v>
                </c:pt>
                <c:pt idx="7">
                  <c:v>-0.163971857251011</c:v>
                </c:pt>
                <c:pt idx="8">
                  <c:v>-0.191028746678617</c:v>
                </c:pt>
                <c:pt idx="9">
                  <c:v>-0.030894305729862</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亿立方米</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593534424456"/>
          <c:y val="0.0987309644670051"/>
          <c:w val="0.470309752468551"/>
          <c:h val="0.0814720812182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年城市天然气供气总量及同比变化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88257393267279"/>
          <c:y val="0.0251141552511416"/>
        </c:manualLayout>
      </c:layout>
      <c:overlay val="0"/>
      <c:spPr>
        <a:noFill/>
        <a:ln>
          <a:noFill/>
        </a:ln>
        <a:effectLst/>
      </c:spPr>
    </c:title>
    <c:autoTitleDeleted val="0"/>
    <c:plotArea>
      <c:layout>
        <c:manualLayout>
          <c:layoutTarget val="inner"/>
          <c:xMode val="edge"/>
          <c:yMode val="edge"/>
          <c:x val="0.111888888888889"/>
          <c:y val="0.220319634703196"/>
          <c:w val="0.815111111111111"/>
          <c:h val="0.649942922374429"/>
        </c:manualLayout>
      </c:layout>
      <c:barChart>
        <c:barDir val="col"/>
        <c:grouping val="clustered"/>
        <c:varyColors val="0"/>
        <c:ser>
          <c:idx val="1"/>
          <c:order val="0"/>
          <c:tx>
            <c:strRef>
              <c:f>"城市天然气供气总量"</c:f>
              <c:strCache>
                <c:ptCount val="1"/>
                <c:pt idx="0">
                  <c:v>城市天然气供气总量</c:v>
                </c:pt>
              </c:strCache>
            </c:strRef>
          </c:tx>
          <c:spPr>
            <a:solidFill>
              <a:srgbClr val="C00000"/>
            </a:solidFill>
            <a:ln>
              <a:noFill/>
            </a:ln>
            <a:effectLst/>
          </c:spPr>
          <c:invertIfNegative val="0"/>
          <c:dLbls>
            <c:dLbl>
              <c:idx val="8"/>
              <c:layout>
                <c:manualLayout>
                  <c:x val="-0.01375"/>
                  <c:y val="0.012842465753424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763888888888889"/>
                  <c:y val="0.006563926940639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'[22公报数据-前三部分0915.xlsx]燃气供气总量'!$A$25:$A$34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'[22公报数据-前三部分0915.xlsx]燃气供气总量'!$C$25:$C$34</c:f>
              <c:numCache>
                <c:formatCode>0.00_ </c:formatCode>
                <c:ptCount val="10"/>
                <c:pt idx="0">
                  <c:v>888.2417</c:v>
                </c:pt>
                <c:pt idx="1">
                  <c:v>964.378286</c:v>
                </c:pt>
                <c:pt idx="2">
                  <c:v>1040.79062</c:v>
                </c:pt>
                <c:pt idx="3">
                  <c:v>1171.7186</c:v>
                </c:pt>
                <c:pt idx="4">
                  <c:v>1263.754572</c:v>
                </c:pt>
                <c:pt idx="5">
                  <c:v>1443.953789</c:v>
                </c:pt>
                <c:pt idx="6">
                  <c:v>1527.9409376</c:v>
                </c:pt>
                <c:pt idx="7">
                  <c:v>1563.701969</c:v>
                </c:pt>
                <c:pt idx="8">
                  <c:v>1721.061247</c:v>
                </c:pt>
                <c:pt idx="9">
                  <c:v>1767.700677</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'[22公报数据-前三部分0915.xlsx]燃气供气总量'!$A$25:$A$34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'[22公报数据-前三部分0915.xlsx]燃气供气总量'!$D$25:$D$34</c:f>
              <c:numCache>
                <c:formatCode>0.00%</c:formatCode>
                <c:ptCount val="10"/>
                <c:pt idx="0">
                  <c:v>0.117232176537037</c:v>
                </c:pt>
                <c:pt idx="1">
                  <c:v>0.0857160680476947</c:v>
                </c:pt>
                <c:pt idx="2">
                  <c:v>0.079234813878835</c:v>
                </c:pt>
                <c:pt idx="3">
                  <c:v>0.125796656391849</c:v>
                </c:pt>
                <c:pt idx="4">
                  <c:v>0.0785478458735742</c:v>
                </c:pt>
                <c:pt idx="5">
                  <c:v>0.142590358122162</c:v>
                </c:pt>
                <c:pt idx="6">
                  <c:v>0.0581647066823134</c:v>
                </c:pt>
                <c:pt idx="7">
                  <c:v>0.0234047210333739</c:v>
                </c:pt>
                <c:pt idx="8">
                  <c:v>0.100632525327466</c:v>
                </c:pt>
                <c:pt idx="9">
                  <c:v>0.0270992273408617</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in val="50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亿立方米</a:t>
                </a:r>
                <a:endParaRPr altLang="en-US"/>
              </a:p>
            </c:rich>
          </c:tx>
          <c:layout>
            <c:manualLayout>
              <c:xMode val="edge"/>
              <c:yMode val="edge"/>
              <c:x val="0.00416666666666667"/>
              <c:y val="0.422859589041096"/>
            </c:manualLayout>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652777777778"/>
          <c:y val="0.10448824819935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年城市液化石油气供气总量及同比变化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1371996485168"/>
          <c:y val="0.015894439967768"/>
        </c:manualLayout>
      </c:layout>
      <c:overlay val="0"/>
      <c:spPr>
        <a:noFill/>
        <a:ln>
          <a:noFill/>
        </a:ln>
        <a:effectLst/>
      </c:spPr>
    </c:title>
    <c:autoTitleDeleted val="0"/>
    <c:plotArea>
      <c:layout>
        <c:manualLayout>
          <c:layoutTarget val="inner"/>
          <c:xMode val="edge"/>
          <c:yMode val="edge"/>
          <c:x val="0.115083333333333"/>
          <c:y val="0.171232876712329"/>
          <c:w val="0.796361111111111"/>
          <c:h val="0.711301369863014"/>
        </c:manualLayout>
      </c:layout>
      <c:barChart>
        <c:barDir val="col"/>
        <c:grouping val="clustered"/>
        <c:varyColors val="0"/>
        <c:ser>
          <c:idx val="1"/>
          <c:order val="0"/>
          <c:tx>
            <c:strRef>
              <c:f>"城市液化石油气供气总量"</c:f>
              <c:strCache>
                <c:ptCount val="1"/>
                <c:pt idx="0">
                  <c:v>城市液化石油气供气总量</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'[22公报数据-前三部分0915.xlsx]燃气供气总量'!$A$45:$A$54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'[22公报数据-前三部分0915.xlsx]燃气供气总量'!$C$45:$C$54</c:f>
              <c:numCache>
                <c:formatCode>0.00_ </c:formatCode>
                <c:ptCount val="10"/>
                <c:pt idx="0">
                  <c:v>1109.7298</c:v>
                </c:pt>
                <c:pt idx="1">
                  <c:v>1082.849026</c:v>
                </c:pt>
                <c:pt idx="2">
                  <c:v>1039.216892</c:v>
                </c:pt>
                <c:pt idx="3">
                  <c:v>1078.804185</c:v>
                </c:pt>
                <c:pt idx="4">
                  <c:v>998.808822</c:v>
                </c:pt>
                <c:pt idx="5">
                  <c:v>1015.329777</c:v>
                </c:pt>
                <c:pt idx="6">
                  <c:v>922.717939</c:v>
                </c:pt>
                <c:pt idx="7">
                  <c:v>833.710906</c:v>
                </c:pt>
                <c:pt idx="8">
                  <c:v>860.684058</c:v>
                </c:pt>
                <c:pt idx="9">
                  <c:v>758.458586</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'[22公报数据-前三部分0915.xlsx]燃气供气总量'!$A$45:$A$54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'[22公报数据-前三部分0915.xlsx]燃气供气总量'!$D$45:$D$54</c:f>
              <c:numCache>
                <c:formatCode>0.00%</c:formatCode>
                <c:ptCount val="10"/>
                <c:pt idx="0">
                  <c:v>-0.00455093777987003</c:v>
                </c:pt>
                <c:pt idx="1">
                  <c:v>-0.0242228099128274</c:v>
                </c:pt>
                <c:pt idx="2">
                  <c:v>-0.0402938294742485</c:v>
                </c:pt>
                <c:pt idx="3">
                  <c:v>0.0380933886898367</c:v>
                </c:pt>
                <c:pt idx="4">
                  <c:v>-0.0741518841994481</c:v>
                </c:pt>
                <c:pt idx="5">
                  <c:v>0.0165406578677576</c:v>
                </c:pt>
                <c:pt idx="6">
                  <c:v>-0.0912135545493807</c:v>
                </c:pt>
                <c:pt idx="7">
                  <c:v>-0.0964617996876291</c:v>
                </c:pt>
                <c:pt idx="8">
                  <c:v>0.0323531236138106</c:v>
                </c:pt>
                <c:pt idx="9">
                  <c:v>-0.118772354442749</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in val="70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万吨</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3125"/>
          <c:y val="0.1076275176057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年城市人工煤气管道长度及同比变化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188356164383562"/>
        </c:manualLayout>
      </c:layout>
      <c:overlay val="0"/>
      <c:spPr>
        <a:noFill/>
        <a:ln>
          <a:noFill/>
        </a:ln>
        <a:effectLst/>
      </c:spPr>
    </c:title>
    <c:autoTitleDeleted val="0"/>
    <c:plotArea>
      <c:layout>
        <c:manualLayout>
          <c:layoutTarget val="inner"/>
          <c:xMode val="edge"/>
          <c:yMode val="edge"/>
          <c:x val="0.0734166666666667"/>
          <c:y val="0.175799086757991"/>
          <c:w val="0.827611111111111"/>
          <c:h val="0.705593607305936"/>
        </c:manualLayout>
      </c:layout>
      <c:barChart>
        <c:barDir val="col"/>
        <c:grouping val="clustered"/>
        <c:varyColors val="0"/>
        <c:ser>
          <c:idx val="1"/>
          <c:order val="0"/>
          <c:tx>
            <c:strRef>
              <c:f>"城市人工煤气管道长度"</c:f>
              <c:strCache>
                <c:ptCount val="1"/>
                <c:pt idx="0">
                  <c:v>城市人工煤气管道长度</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'[22公报数据-前三部分0915.xlsx]燃气管道长度'!$A$5:$A$14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'[22公报数据-前三部分0915.xlsx]燃气管道长度'!$C$5:$C$14</c:f>
              <c:numCache>
                <c:formatCode>0.00_ </c:formatCode>
                <c:ptCount val="10"/>
                <c:pt idx="0">
                  <c:v>3.0467</c:v>
                </c:pt>
                <c:pt idx="1">
                  <c:v>2.904294</c:v>
                </c:pt>
                <c:pt idx="2">
                  <c:v>2.129158</c:v>
                </c:pt>
                <c:pt idx="3">
                  <c:v>1.8513</c:v>
                </c:pt>
                <c:pt idx="4">
                  <c:v>1.1716</c:v>
                </c:pt>
                <c:pt idx="5">
                  <c:v>1.312404</c:v>
                </c:pt>
                <c:pt idx="6">
                  <c:v>1.091497</c:v>
                </c:pt>
                <c:pt idx="7">
                  <c:v>0.985956</c:v>
                </c:pt>
                <c:pt idx="8">
                  <c:v>0.916501</c:v>
                </c:pt>
                <c:pt idx="9">
                  <c:v>0.67179</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'[22公报数据-前三部分0915.xlsx]燃气管道长度'!$A$5:$A$14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'[22公报数据-前三部分0915.xlsx]燃气管道长度'!$D$5:$D$14</c:f>
              <c:numCache>
                <c:formatCode>0.00%</c:formatCode>
                <c:ptCount val="10"/>
                <c:pt idx="0">
                  <c:v>-0.0915677738684477</c:v>
                </c:pt>
                <c:pt idx="1">
                  <c:v>-0.0467410641021433</c:v>
                </c:pt>
                <c:pt idx="2">
                  <c:v>-0.266893090024633</c:v>
                </c:pt>
                <c:pt idx="3">
                  <c:v>-0.130501353117054</c:v>
                </c:pt>
                <c:pt idx="4">
                  <c:v>-0.367147409928159</c:v>
                </c:pt>
                <c:pt idx="5">
                  <c:v>0.120180949129396</c:v>
                </c:pt>
                <c:pt idx="6">
                  <c:v>-0.168322406819851</c:v>
                </c:pt>
                <c:pt idx="7">
                  <c:v>-0.0966938067626387</c:v>
                </c:pt>
                <c:pt idx="8">
                  <c:v>-0.0704443200305085</c:v>
                </c:pt>
                <c:pt idx="9">
                  <c:v>-0.267005709759182</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万公里</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6319444444445"/>
          <c:y val="0.1136206682906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年城市天然气管道长度及同比变化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5416666666667"/>
          <c:y val="0.00856164383561644"/>
        </c:manualLayout>
      </c:layout>
      <c:overlay val="0"/>
      <c:spPr>
        <a:noFill/>
        <a:ln>
          <a:noFill/>
        </a:ln>
        <a:effectLst/>
      </c:spPr>
    </c:title>
    <c:autoTitleDeleted val="0"/>
    <c:plotArea>
      <c:layout>
        <c:manualLayout>
          <c:layoutTarget val="inner"/>
          <c:xMode val="edge"/>
          <c:yMode val="edge"/>
          <c:x val="0.0888333333333333"/>
          <c:y val="0.216609589041096"/>
          <c:w val="0.831916666666667"/>
          <c:h val="0.653367579908676"/>
        </c:manualLayout>
      </c:layout>
      <c:barChart>
        <c:barDir val="col"/>
        <c:grouping val="clustered"/>
        <c:varyColors val="0"/>
        <c:ser>
          <c:idx val="1"/>
          <c:order val="0"/>
          <c:tx>
            <c:strRef>
              <c:f>"城市天然气管道长度"</c:f>
              <c:strCache>
                <c:ptCount val="1"/>
                <c:pt idx="0">
                  <c:v>城市天然气管道长度</c:v>
                </c:pt>
              </c:strCache>
            </c:strRef>
          </c:tx>
          <c:spPr>
            <a:solidFill>
              <a:srgbClr val="C00000"/>
            </a:solidFill>
            <a:ln>
              <a:noFill/>
            </a:ln>
            <a:effectLst/>
          </c:spPr>
          <c:invertIfNegative val="0"/>
          <c:dLbls>
            <c:dLbl>
              <c:idx val="2"/>
              <c:layout>
                <c:manualLayout>
                  <c:x val="-0.00152777777777778"/>
                  <c:y val="0.02226027397260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853881278538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52777777777778"/>
                  <c:y val="0.015981735159817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'[22公报数据-前三部分0915.xlsx]燃气管道长度'!$A$25:$A$34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'[22公报数据-前三部分0915.xlsx]燃气管道长度'!$C$25:$C$34</c:f>
              <c:numCache>
                <c:formatCode>0.00_ </c:formatCode>
                <c:ptCount val="10"/>
                <c:pt idx="0">
                  <c:v>38.8466</c:v>
                </c:pt>
                <c:pt idx="1">
                  <c:v>43.457147</c:v>
                </c:pt>
                <c:pt idx="2">
                  <c:v>49.808702</c:v>
                </c:pt>
                <c:pt idx="3">
                  <c:v>55.1031</c:v>
                </c:pt>
                <c:pt idx="4">
                  <c:v>62.325334</c:v>
                </c:pt>
                <c:pt idx="5">
                  <c:v>69.804272</c:v>
                </c:pt>
                <c:pt idx="6">
                  <c:v>76.794633</c:v>
                </c:pt>
                <c:pt idx="7">
                  <c:v>85.055213</c:v>
                </c:pt>
                <c:pt idx="8">
                  <c:v>92.908771</c:v>
                </c:pt>
                <c:pt idx="9">
                  <c:v>98.040473</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2225" cap="flat">
              <a:solidFill>
                <a:srgbClr val="002060"/>
              </a:solidFill>
              <a:miter lim="800000"/>
            </a:ln>
            <a:effectLst/>
            <a:sp3d contourW="22225"/>
          </c:spPr>
          <c:marker>
            <c:symbol val="circle"/>
            <c:size val="5"/>
            <c:spPr>
              <a:solidFill>
                <a:schemeClr val="bg1"/>
              </a:solidFill>
              <a:ln w="9525">
                <a:solidFill>
                  <a:srgbClr val="002060"/>
                </a:solidFill>
              </a:ln>
              <a:effectLst/>
            </c:spPr>
          </c:marker>
          <c:dLbls>
            <c:delete val="1"/>
          </c:dLbls>
          <c:cat>
            <c:numRef>
              <c:f>'[22公报数据-前三部分0915.xlsx]燃气管道长度'!$A$25:$A$34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'[22公报数据-前三部分0915.xlsx]燃气管道长度'!$D$25:$D$34</c:f>
              <c:numCache>
                <c:formatCode>0.00%</c:formatCode>
                <c:ptCount val="10"/>
                <c:pt idx="0">
                  <c:v>0.133373401176361</c:v>
                </c:pt>
                <c:pt idx="1">
                  <c:v>0.118685985388683</c:v>
                </c:pt>
                <c:pt idx="2">
                  <c:v>0.146156741490646</c:v>
                </c:pt>
                <c:pt idx="3">
                  <c:v>0.106294639037171</c:v>
                </c:pt>
                <c:pt idx="4">
                  <c:v>0.131067653181037</c:v>
                </c:pt>
                <c:pt idx="5">
                  <c:v>0.119998362142753</c:v>
                </c:pt>
                <c:pt idx="6">
                  <c:v>0.100142309341755</c:v>
                </c:pt>
                <c:pt idx="7">
                  <c:v>0.107567152511817</c:v>
                </c:pt>
                <c:pt idx="8">
                  <c:v>0.0923348225581424</c:v>
                </c:pt>
                <c:pt idx="9">
                  <c:v>0.0552337733538633</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万公里</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2958877995642"/>
          <c:y val="0.116332165036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mn-lt"/>
                <a:ea typeface="+mn-ea"/>
                <a:cs typeface="+mn-cs"/>
              </a:defRPr>
            </a:pPr>
            <a:r>
              <a:rPr lang="en-US" altLang="zh-CN" sz="1200">
                <a:solidFill>
                  <a:sysClr val="windowText" lastClr="000000"/>
                </a:solidFill>
              </a:rPr>
              <a:t>2022</a:t>
            </a:r>
            <a:r>
              <a:rPr altLang="en-US" sz="1200">
                <a:solidFill>
                  <a:sysClr val="windowText" lastClr="000000"/>
                </a:solidFill>
              </a:rPr>
              <a:t>年全国分省（区、市）和新疆兵团城市建成区面积</a:t>
            </a:r>
            <a:endParaRPr lang="en-US" altLang="zh-CN" sz="1200">
              <a:solidFill>
                <a:sysClr val="windowText" lastClr="000000"/>
              </a:solidFill>
            </a:endParaRPr>
          </a:p>
        </c:rich>
      </c:tx>
      <c:layout>
        <c:manualLayout>
          <c:xMode val="edge"/>
          <c:yMode val="edge"/>
          <c:x val="0.16927458723077"/>
          <c:y val="0.00888362451880367"/>
        </c:manualLayout>
      </c:layout>
      <c:overlay val="0"/>
      <c:spPr>
        <a:noFill/>
        <a:ln>
          <a:noFill/>
        </a:ln>
        <a:effectLst/>
      </c:spPr>
    </c:title>
    <c:autoTitleDeleted val="0"/>
    <c:plotArea>
      <c:layout>
        <c:manualLayout>
          <c:layoutTarget val="inner"/>
          <c:xMode val="edge"/>
          <c:yMode val="edge"/>
          <c:x val="0.104168674698795"/>
          <c:y val="0.13013698630137"/>
          <c:w val="0.870289156626506"/>
          <c:h val="0.556301369863014"/>
        </c:manualLayout>
      </c:layout>
      <c:barChart>
        <c:barDir val="col"/>
        <c:grouping val="clustered"/>
        <c:varyColors val="0"/>
        <c:ser>
          <c:idx val="0"/>
          <c:order val="0"/>
          <c:spPr>
            <a:solidFill>
              <a:srgbClr val="C00000"/>
            </a:solidFill>
            <a:ln>
              <a:noFill/>
            </a:ln>
            <a:effectLst/>
          </c:spPr>
          <c:invertIfNegative val="0"/>
          <c:dLbls>
            <c:dLbl>
              <c:idx val="17"/>
              <c:layout>
                <c:manualLayout>
                  <c:x val="0"/>
                  <c:y val="0.035758894992364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'[22公报数据-前三部分.xlsx]建成区面积'!$A$32:$A$62</c:f>
              <c:strCache>
                <c:ptCount val="31"/>
                <c:pt idx="0">
                  <c:v>天津</c:v>
                </c:pt>
                <c:pt idx="1">
                  <c:v>河北</c:v>
                </c:pt>
                <c:pt idx="2">
                  <c:v>山西</c:v>
                </c:pt>
                <c:pt idx="3">
                  <c:v>内蒙古</c:v>
                </c:pt>
                <c:pt idx="4">
                  <c:v>辽宁</c:v>
                </c:pt>
                <c:pt idx="5">
                  <c:v>吉林</c:v>
                </c:pt>
                <c:pt idx="6">
                  <c:v>黑龙江</c:v>
                </c:pt>
                <c:pt idx="7">
                  <c:v>上海</c:v>
                </c:pt>
                <c:pt idx="8">
                  <c:v>江苏</c:v>
                </c:pt>
                <c:pt idx="9">
                  <c:v>浙江</c:v>
                </c:pt>
                <c:pt idx="10">
                  <c:v>安徽</c:v>
                </c:pt>
                <c:pt idx="11">
                  <c:v>福建</c:v>
                </c:pt>
                <c:pt idx="12">
                  <c:v>江西</c:v>
                </c:pt>
                <c:pt idx="13">
                  <c:v>山东</c:v>
                </c:pt>
                <c:pt idx="14">
                  <c:v>河南</c:v>
                </c:pt>
                <c:pt idx="15">
                  <c:v>湖北</c:v>
                </c:pt>
                <c:pt idx="16">
                  <c:v>湖南</c:v>
                </c:pt>
                <c:pt idx="17">
                  <c:v>广东</c:v>
                </c:pt>
                <c:pt idx="18">
                  <c:v>广西</c:v>
                </c:pt>
                <c:pt idx="19">
                  <c:v>海南</c:v>
                </c:pt>
                <c:pt idx="20">
                  <c:v>重庆</c:v>
                </c:pt>
                <c:pt idx="21">
                  <c:v>四川</c:v>
                </c:pt>
                <c:pt idx="22">
                  <c:v>贵州</c:v>
                </c:pt>
                <c:pt idx="23">
                  <c:v>云南</c:v>
                </c:pt>
                <c:pt idx="24">
                  <c:v>西藏</c:v>
                </c:pt>
                <c:pt idx="25">
                  <c:v>陕西</c:v>
                </c:pt>
                <c:pt idx="26">
                  <c:v>甘肃</c:v>
                </c:pt>
                <c:pt idx="27">
                  <c:v>青海</c:v>
                </c:pt>
                <c:pt idx="28">
                  <c:v>宁夏</c:v>
                </c:pt>
                <c:pt idx="29">
                  <c:v>新疆</c:v>
                </c:pt>
                <c:pt idx="30">
                  <c:v>新疆兵团</c:v>
                </c:pt>
              </c:strCache>
            </c:strRef>
          </c:cat>
          <c:val>
            <c:numRef>
              <c:f>'[22公报数据-前三部分.xlsx]建成区面积'!$C$32:$C$62</c:f>
              <c:numCache>
                <c:formatCode>0_ </c:formatCode>
                <c:ptCount val="31"/>
                <c:pt idx="0">
                  <c:v>1264.46</c:v>
                </c:pt>
                <c:pt idx="1">
                  <c:v>2266.96</c:v>
                </c:pt>
                <c:pt idx="2">
                  <c:v>1295.08</c:v>
                </c:pt>
                <c:pt idx="3">
                  <c:v>1272.8</c:v>
                </c:pt>
                <c:pt idx="4">
                  <c:v>2815.03</c:v>
                </c:pt>
                <c:pt idx="5">
                  <c:v>1580</c:v>
                </c:pt>
                <c:pt idx="6">
                  <c:v>1802.55</c:v>
                </c:pt>
                <c:pt idx="7">
                  <c:v>1242</c:v>
                </c:pt>
                <c:pt idx="8">
                  <c:v>4916.17</c:v>
                </c:pt>
                <c:pt idx="9">
                  <c:v>3426.99</c:v>
                </c:pt>
                <c:pt idx="10">
                  <c:v>2500.28</c:v>
                </c:pt>
                <c:pt idx="11">
                  <c:v>1877.45</c:v>
                </c:pt>
                <c:pt idx="12">
                  <c:v>1789.49</c:v>
                </c:pt>
                <c:pt idx="13">
                  <c:v>5712.99</c:v>
                </c:pt>
                <c:pt idx="14">
                  <c:v>3521.11</c:v>
                </c:pt>
                <c:pt idx="15">
                  <c:v>2866.18</c:v>
                </c:pt>
                <c:pt idx="16">
                  <c:v>2104.99</c:v>
                </c:pt>
                <c:pt idx="17">
                  <c:v>6575.31</c:v>
                </c:pt>
                <c:pt idx="18">
                  <c:v>1809.48</c:v>
                </c:pt>
                <c:pt idx="19">
                  <c:v>419.28</c:v>
                </c:pt>
                <c:pt idx="20">
                  <c:v>1640.8</c:v>
                </c:pt>
                <c:pt idx="21">
                  <c:v>3411.76</c:v>
                </c:pt>
                <c:pt idx="22">
                  <c:v>1194.8</c:v>
                </c:pt>
                <c:pt idx="23">
                  <c:v>1287.83</c:v>
                </c:pt>
                <c:pt idx="24">
                  <c:v>170.71</c:v>
                </c:pt>
                <c:pt idx="25">
                  <c:v>1553.51</c:v>
                </c:pt>
                <c:pt idx="26">
                  <c:v>968.07</c:v>
                </c:pt>
                <c:pt idx="27">
                  <c:v>250.08</c:v>
                </c:pt>
                <c:pt idx="28">
                  <c:v>485.66</c:v>
                </c:pt>
                <c:pt idx="29">
                  <c:v>1428.05</c:v>
                </c:pt>
                <c:pt idx="30">
                  <c:v>226.53</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max val="8000"/>
        </c:scaling>
        <c:delete val="0"/>
        <c:axPos val="l"/>
        <c:title>
          <c:tx>
            <c:rich>
              <a:bodyPr rot="0" spcFirstLastPara="0" vertOverflow="ellipsis" vert="mongolianVert" wrap="square" anchor="ctr" anchorCtr="1"/>
              <a:lstStyle/>
              <a:p>
                <a:pPr defTabSz="914400">
                  <a:defRPr lang="zh-CN" sz="1000" b="0" i="0" u="none" strike="noStrike" kern="1200" baseline="0">
                    <a:solidFill>
                      <a:sysClr val="windowText" lastClr="000000"/>
                    </a:solidFill>
                    <a:latin typeface="+mn-lt"/>
                    <a:ea typeface="+mn-ea"/>
                    <a:cs typeface="+mn-cs"/>
                  </a:defRPr>
                </a:pPr>
                <a:r>
                  <a:t>平方公里</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年城市液化石油气管道长度及同比变化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530072193253"/>
          <c:y val="0.0253995433789955"/>
        </c:manualLayout>
      </c:layout>
      <c:overlay val="0"/>
      <c:spPr>
        <a:noFill/>
        <a:ln>
          <a:noFill/>
        </a:ln>
        <a:effectLst/>
      </c:spPr>
    </c:title>
    <c:autoTitleDeleted val="0"/>
    <c:plotArea>
      <c:layout>
        <c:manualLayout>
          <c:layoutTarget val="inner"/>
          <c:xMode val="edge"/>
          <c:yMode val="edge"/>
          <c:x val="0.0810555555555556"/>
          <c:y val="0.189783105022831"/>
          <c:w val="0.837611111111111"/>
          <c:h val="0.681906392694064"/>
        </c:manualLayout>
      </c:layout>
      <c:barChart>
        <c:barDir val="col"/>
        <c:grouping val="clustered"/>
        <c:varyColors val="0"/>
        <c:ser>
          <c:idx val="1"/>
          <c:order val="0"/>
          <c:tx>
            <c:strRef>
              <c:f>"城市液化石油气管道长度"</c:f>
              <c:strCache>
                <c:ptCount val="1"/>
                <c:pt idx="0">
                  <c:v>城市液化石油气管道长度</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'[22公报数据-前三部分0915.xlsx]燃气管道长度'!$A$45:$A$54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'[22公报数据-前三部分0915.xlsx]燃气管道长度'!$C$45:$C$54</c:f>
              <c:numCache>
                <c:formatCode>0.00_ </c:formatCode>
                <c:ptCount val="10"/>
                <c:pt idx="0">
                  <c:v>1.3437</c:v>
                </c:pt>
                <c:pt idx="1">
                  <c:v>1.098585</c:v>
                </c:pt>
                <c:pt idx="2">
                  <c:v>0.900934</c:v>
                </c:pt>
                <c:pt idx="3">
                  <c:v>0.8716</c:v>
                </c:pt>
                <c:pt idx="4">
                  <c:v>0.620032</c:v>
                </c:pt>
                <c:pt idx="5">
                  <c:v>0.484143</c:v>
                </c:pt>
                <c:pt idx="6">
                  <c:v>0.44515</c:v>
                </c:pt>
                <c:pt idx="7">
                  <c:v>0.401</c:v>
                </c:pt>
                <c:pt idx="8">
                  <c:v>0.290998</c:v>
                </c:pt>
                <c:pt idx="9">
                  <c:v>0.254737</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'[22公报数据-前三部分0915.xlsx]燃气管道长度'!$A$45:$A$54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'[22公报数据-前三部分0915.xlsx]燃气管道长度'!$D$45:$D$54</c:f>
              <c:numCache>
                <c:formatCode>0.00%</c:formatCode>
                <c:ptCount val="10"/>
                <c:pt idx="0">
                  <c:v>0.0621294759307565</c:v>
                </c:pt>
                <c:pt idx="1">
                  <c:v>-0.182417950435365</c:v>
                </c:pt>
                <c:pt idx="2">
                  <c:v>-0.179914162308788</c:v>
                </c:pt>
                <c:pt idx="3">
                  <c:v>-0.0325595437623621</c:v>
                </c:pt>
                <c:pt idx="4">
                  <c:v>-0.288627810922441</c:v>
                </c:pt>
                <c:pt idx="5">
                  <c:v>-0.219164494735756</c:v>
                </c:pt>
                <c:pt idx="6">
                  <c:v>-0.0805402536027578</c:v>
                </c:pt>
                <c:pt idx="7">
                  <c:v>-0.0991800516679771</c:v>
                </c:pt>
                <c:pt idx="8">
                  <c:v>-0.274319201995013</c:v>
                </c:pt>
                <c:pt idx="9">
                  <c:v>-0.124609103842638</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万公里</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652777777778"/>
          <c:y val="0.11724341876072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年全国城市燃气普及率</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40504456338925"/>
          <c:y val="0.0222602739726028"/>
        </c:manualLayout>
      </c:layout>
      <c:overlay val="0"/>
      <c:spPr>
        <a:noFill/>
        <a:ln>
          <a:noFill/>
        </a:ln>
        <a:effectLst/>
      </c:spPr>
    </c:title>
    <c:autoTitleDeleted val="0"/>
    <c:plotArea>
      <c:layout>
        <c:manualLayout>
          <c:layoutTarget val="inner"/>
          <c:xMode val="edge"/>
          <c:yMode val="edge"/>
          <c:x val="0.0825833333333333"/>
          <c:y val="0.165810502283105"/>
          <c:w val="0.885888888888889"/>
          <c:h val="0.704166666666667"/>
        </c:manualLayout>
      </c:layout>
      <c:barChart>
        <c:barDir val="col"/>
        <c:grouping val="clustered"/>
        <c:varyColors val="0"/>
        <c:ser>
          <c:idx val="1"/>
          <c:order val="0"/>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'[22公报数据-前三部分0915.xlsx]燃气普及率 '!$A$5:$A$14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'[22公报数据-前三部分0915.xlsx]燃气普及率 '!$C$5:$C$14</c:f>
              <c:numCache>
                <c:formatCode>0.00%</c:formatCode>
                <c:ptCount val="10"/>
                <c:pt idx="0">
                  <c:v>0.9425</c:v>
                </c:pt>
                <c:pt idx="1">
                  <c:v>0.9457</c:v>
                </c:pt>
                <c:pt idx="2">
                  <c:v>0.953</c:v>
                </c:pt>
                <c:pt idx="3">
                  <c:v>0.9575</c:v>
                </c:pt>
                <c:pt idx="4">
                  <c:v>0.9626</c:v>
                </c:pt>
                <c:pt idx="5">
                  <c:v>0.966993876256751</c:v>
                </c:pt>
                <c:pt idx="6">
                  <c:v>0.972944314288112</c:v>
                </c:pt>
                <c:pt idx="7">
                  <c:v>0.978693695436412</c:v>
                </c:pt>
                <c:pt idx="8">
                  <c:v>0.9804</c:v>
                </c:pt>
                <c:pt idx="9">
                  <c:v>0.9806</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0.03"/>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年全国城市管道燃气普及率</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37223245973246"/>
          <c:y val="0.0222602739726028"/>
        </c:manualLayout>
      </c:layout>
      <c:overlay val="0"/>
      <c:spPr>
        <a:noFill/>
        <a:ln>
          <a:noFill/>
        </a:ln>
        <a:effectLst/>
      </c:spPr>
    </c:title>
    <c:autoTitleDeleted val="0"/>
    <c:plotArea>
      <c:layout>
        <c:manualLayout>
          <c:layoutTarget val="inner"/>
          <c:xMode val="edge"/>
          <c:yMode val="edge"/>
          <c:x val="0.0903611111111111"/>
          <c:y val="0.157036029911625"/>
          <c:w val="0.873527777777778"/>
          <c:h val="0.703059143439837"/>
        </c:manualLayout>
      </c:layout>
      <c:barChart>
        <c:barDir val="col"/>
        <c:grouping val="clustered"/>
        <c:varyColors val="0"/>
        <c:ser>
          <c:idx val="1"/>
          <c:order val="0"/>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'[22公报数据-前三部分0915.xlsx]管道燃气普及率'!$A$5:$A$14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'[22公报数据-前三部分0915.xlsx]管道燃气普及率'!$G$5:$G$14</c:f>
              <c:numCache>
                <c:formatCode>0.00%</c:formatCode>
                <c:ptCount val="10"/>
                <c:pt idx="0">
                  <c:v>0.593884325756841</c:v>
                </c:pt>
                <c:pt idx="1">
                  <c:v>0.622752539747988</c:v>
                </c:pt>
                <c:pt idx="2">
                  <c:v>0.649644668505825</c:v>
                </c:pt>
                <c:pt idx="3">
                  <c:v>0.669437669004665</c:v>
                </c:pt>
                <c:pt idx="4">
                  <c:v>0.705861033215438</c:v>
                </c:pt>
                <c:pt idx="5">
                  <c:v>0.736650302277226</c:v>
                </c:pt>
                <c:pt idx="6">
                  <c:v>0.757414968062943</c:v>
                </c:pt>
                <c:pt idx="7">
                  <c:v>0.77841613786197</c:v>
                </c:pt>
                <c:pt idx="8">
                  <c:v>0.798371691011079</c:v>
                </c:pt>
                <c:pt idx="9">
                  <c:v>0.815374617375638</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年全国分省（区、市）和新疆兵团城市燃气普及率</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8331191004354"/>
          <c:y val="0.00832408435072142"/>
        </c:manualLayout>
      </c:layout>
      <c:overlay val="0"/>
      <c:spPr>
        <a:noFill/>
        <a:ln>
          <a:noFill/>
        </a:ln>
        <a:effectLst/>
      </c:spPr>
    </c:title>
    <c:autoTitleDeleted val="0"/>
    <c:plotArea>
      <c:layout>
        <c:manualLayout>
          <c:layoutTarget val="inner"/>
          <c:xMode val="edge"/>
          <c:yMode val="edge"/>
          <c:x val="0.0840988547317661"/>
          <c:y val="0.361848267249454"/>
          <c:w val="0.886244725738397"/>
          <c:h val="0.352294723696535"/>
        </c:manualLayout>
      </c:layout>
      <c:barChart>
        <c:barDir val="col"/>
        <c:grouping val="clustered"/>
        <c:varyColors val="0"/>
        <c:ser>
          <c:idx val="0"/>
          <c:order val="0"/>
          <c:tx>
            <c:strRef>
              <c:f>"城市燃气普及率"</c:f>
              <c:strCache>
                <c:ptCount val="1"/>
                <c:pt idx="0">
                  <c:v>城市燃气普及率</c:v>
                </c:pt>
              </c:strCache>
            </c:strRef>
          </c:tx>
          <c:spPr>
            <a:solidFill>
              <a:srgbClr val="C00000"/>
            </a:solidFill>
            <a:ln>
              <a:noFill/>
            </a:ln>
            <a:effectLst/>
          </c:spPr>
          <c:invertIfNegative val="0"/>
          <c:dLbls>
            <c:dLbl>
              <c:idx val="31"/>
              <c:layout>
                <c:manualLayout>
                  <c:x val="0"/>
                  <c:y val="0.0031220730565095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'[22公报数据-前三部分0919.xlsx]燃气普及率 '!$B$22:$B$53</c:f>
              <c:numCache>
                <c:formatCode>#,##0.0</c:formatCode>
                <c:ptCount val="32"/>
                <c:pt idx="0">
                  <c:v>100</c:v>
                </c:pt>
                <c:pt idx="1">
                  <c:v>100</c:v>
                </c:pt>
                <c:pt idx="2">
                  <c:v>99.5460055976013</c:v>
                </c:pt>
                <c:pt idx="3">
                  <c:v>97.5595084643809</c:v>
                </c:pt>
                <c:pt idx="4">
                  <c:v>97.9578096947935</c:v>
                </c:pt>
                <c:pt idx="5">
                  <c:v>97.7312316415056</c:v>
                </c:pt>
                <c:pt idx="6">
                  <c:v>96.5422671990531</c:v>
                </c:pt>
                <c:pt idx="7">
                  <c:v>93.2235523142633</c:v>
                </c:pt>
                <c:pt idx="8">
                  <c:v>100</c:v>
                </c:pt>
                <c:pt idx="9">
                  <c:v>99.9222936329345</c:v>
                </c:pt>
                <c:pt idx="10">
                  <c:v>99.9</c:v>
                </c:pt>
                <c:pt idx="11">
                  <c:v>99.4164906592479</c:v>
                </c:pt>
                <c:pt idx="12">
                  <c:v>99.674957135386</c:v>
                </c:pt>
                <c:pt idx="13">
                  <c:v>98.8162423704726</c:v>
                </c:pt>
                <c:pt idx="14">
                  <c:v>99.4748250419202</c:v>
                </c:pt>
                <c:pt idx="15">
                  <c:v>98.210002167999</c:v>
                </c:pt>
                <c:pt idx="16">
                  <c:v>99.5049260881355</c:v>
                </c:pt>
                <c:pt idx="17">
                  <c:v>97.7034080125428</c:v>
                </c:pt>
                <c:pt idx="18">
                  <c:v>98.6071782260678</c:v>
                </c:pt>
                <c:pt idx="19">
                  <c:v>99.4370610237844</c:v>
                </c:pt>
                <c:pt idx="20">
                  <c:v>99.5348558052996</c:v>
                </c:pt>
                <c:pt idx="21">
                  <c:v>98.815455950541</c:v>
                </c:pt>
                <c:pt idx="22">
                  <c:v>96.553008022227</c:v>
                </c:pt>
                <c:pt idx="23">
                  <c:v>93.2591666118096</c:v>
                </c:pt>
                <c:pt idx="24">
                  <c:v>71.7527647888369</c:v>
                </c:pt>
                <c:pt idx="25">
                  <c:v>74.2597998331943</c:v>
                </c:pt>
                <c:pt idx="26">
                  <c:v>99.0328685536167</c:v>
                </c:pt>
                <c:pt idx="27">
                  <c:v>96.9287720941122</c:v>
                </c:pt>
                <c:pt idx="28">
                  <c:v>94.7176343985402</c:v>
                </c:pt>
                <c:pt idx="29">
                  <c:v>98.483722815075</c:v>
                </c:pt>
                <c:pt idx="30">
                  <c:v>98.9700232387047</c:v>
                </c:pt>
                <c:pt idx="31">
                  <c:v>95.9558490907446</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"全国城市燃气普及率98.1%"</c:f>
              <c:strCache>
                <c:ptCount val="1"/>
                <c:pt idx="0">
                  <c:v>全国城市燃气普及率98.1%</c:v>
                </c:pt>
              </c:strCache>
            </c:strRef>
          </c:tx>
          <c:spPr>
            <a:ln w="15875" cap="rnd">
              <a:solidFill>
                <a:srgbClr val="002060"/>
              </a:solidFill>
              <a:prstDash val="dash"/>
              <a:round/>
            </a:ln>
            <a:effectLst/>
            <a:sp3d contourW="15875"/>
          </c:spPr>
          <c:marker>
            <c:symbol val="none"/>
          </c:marker>
          <c:dLbls>
            <c:delete val="1"/>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'[22公报数据-前三部分0919.xlsx]燃气普及率 '!$D$22:$D$53</c:f>
              <c:numCache>
                <c:formatCode>#,##0.0</c:formatCode>
                <c:ptCount val="32"/>
                <c:pt idx="0">
                  <c:v>98.0592042546254</c:v>
                </c:pt>
                <c:pt idx="1">
                  <c:v>98.0592042546254</c:v>
                </c:pt>
                <c:pt idx="2">
                  <c:v>98.0592042546254</c:v>
                </c:pt>
                <c:pt idx="3">
                  <c:v>98.0592042546254</c:v>
                </c:pt>
                <c:pt idx="4">
                  <c:v>98.0592042546254</c:v>
                </c:pt>
                <c:pt idx="5">
                  <c:v>98.0592042546254</c:v>
                </c:pt>
                <c:pt idx="6">
                  <c:v>98.0592042546254</c:v>
                </c:pt>
                <c:pt idx="7">
                  <c:v>98.0592042546254</c:v>
                </c:pt>
                <c:pt idx="8">
                  <c:v>98.0592042546254</c:v>
                </c:pt>
                <c:pt idx="9">
                  <c:v>98.0592042546254</c:v>
                </c:pt>
                <c:pt idx="10">
                  <c:v>98.0592042546254</c:v>
                </c:pt>
                <c:pt idx="11">
                  <c:v>98.0592042546254</c:v>
                </c:pt>
                <c:pt idx="12">
                  <c:v>98.0592042546254</c:v>
                </c:pt>
                <c:pt idx="13">
                  <c:v>98.0592042546254</c:v>
                </c:pt>
                <c:pt idx="14">
                  <c:v>98.0592042546254</c:v>
                </c:pt>
                <c:pt idx="15">
                  <c:v>98.0592042546254</c:v>
                </c:pt>
                <c:pt idx="16">
                  <c:v>98.0592042546254</c:v>
                </c:pt>
                <c:pt idx="17">
                  <c:v>98.0592042546254</c:v>
                </c:pt>
                <c:pt idx="18">
                  <c:v>98.0592042546254</c:v>
                </c:pt>
                <c:pt idx="19">
                  <c:v>98.0592042546254</c:v>
                </c:pt>
                <c:pt idx="20">
                  <c:v>98.0592042546254</c:v>
                </c:pt>
                <c:pt idx="21">
                  <c:v>98.0592042546254</c:v>
                </c:pt>
                <c:pt idx="22">
                  <c:v>98.0592042546254</c:v>
                </c:pt>
                <c:pt idx="23">
                  <c:v>98.0592042546254</c:v>
                </c:pt>
                <c:pt idx="24">
                  <c:v>98.0592042546254</c:v>
                </c:pt>
                <c:pt idx="25">
                  <c:v>98.0592042546254</c:v>
                </c:pt>
                <c:pt idx="26">
                  <c:v>98.0592042546254</c:v>
                </c:pt>
                <c:pt idx="27">
                  <c:v>98.0592042546254</c:v>
                </c:pt>
                <c:pt idx="28">
                  <c:v>98.0592042546254</c:v>
                </c:pt>
                <c:pt idx="29">
                  <c:v>98.0592042546254</c:v>
                </c:pt>
                <c:pt idx="30">
                  <c:v>98.0592042546254</c:v>
                </c:pt>
                <c:pt idx="31">
                  <c:v>98.0592042546254</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100"/>
          <c:min val="50"/>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74564877060503"/>
          <c:y val="0.1175443700901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rot="0" vert="eaVert"/>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年全国分省（区、市）和新疆兵团城市管道燃气普及率</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44817025844619"/>
          <c:y val="0.0093837973099781"/>
        </c:manualLayout>
      </c:layout>
      <c:overlay val="0"/>
      <c:spPr>
        <a:noFill/>
        <a:ln>
          <a:noFill/>
        </a:ln>
        <a:effectLst/>
      </c:spPr>
    </c:title>
    <c:autoTitleDeleted val="0"/>
    <c:plotArea>
      <c:layout>
        <c:manualLayout>
          <c:layoutTarget val="inner"/>
          <c:xMode val="edge"/>
          <c:yMode val="edge"/>
          <c:x val="0.0840539083557952"/>
          <c:y val="0.338376491125982"/>
          <c:w val="0.890501347708895"/>
          <c:h val="0.390282222868781"/>
        </c:manualLayout>
      </c:layout>
      <c:barChart>
        <c:barDir val="col"/>
        <c:grouping val="clustered"/>
        <c:varyColors val="0"/>
        <c:ser>
          <c:idx val="0"/>
          <c:order val="0"/>
          <c:tx>
            <c:strRef>
              <c:f>"城市管道燃气普及率"</c:f>
              <c:strCache>
                <c:ptCount val="1"/>
                <c:pt idx="0">
                  <c:v>城市管道燃气普及率</c:v>
                </c:pt>
              </c:strCache>
            </c:strRef>
          </c:tx>
          <c:spPr>
            <a:solidFill>
              <a:srgbClr val="C00000"/>
            </a:solidFill>
            <a:ln>
              <a:noFill/>
            </a:ln>
            <a:effectLst/>
          </c:spPr>
          <c:invertIfNegative val="0"/>
          <c:dLbls>
            <c:dLbl>
              <c:idx val="5"/>
              <c:layout>
                <c:manualLayout>
                  <c:x val="0"/>
                  <c:y val="-0.003319251659625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0.003319251659625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'[22公报数据-前三部分.xlsx]管道燃气普及率'!$F$22:$F$53</c:f>
              <c:numCache>
                <c:formatCode>#,##0.0</c:formatCode>
                <c:ptCount val="32"/>
                <c:pt idx="0">
                  <c:v>77.0023002927645</c:v>
                </c:pt>
                <c:pt idx="1">
                  <c:v>93.7090003189463</c:v>
                </c:pt>
                <c:pt idx="2">
                  <c:v>91.6175670888981</c:v>
                </c:pt>
                <c:pt idx="3">
                  <c:v>95.109642441429</c:v>
                </c:pt>
                <c:pt idx="4">
                  <c:v>76.6735060271864</c:v>
                </c:pt>
                <c:pt idx="5">
                  <c:v>86.4949791652435</c:v>
                </c:pt>
                <c:pt idx="6">
                  <c:v>79.0035260872102</c:v>
                </c:pt>
                <c:pt idx="7">
                  <c:v>74.8874102914258</c:v>
                </c:pt>
                <c:pt idx="8">
                  <c:v>80.0213256647105</c:v>
                </c:pt>
                <c:pt idx="9">
                  <c:v>91.2777301106776</c:v>
                </c:pt>
                <c:pt idx="10">
                  <c:v>70.1072143026154</c:v>
                </c:pt>
                <c:pt idx="11">
                  <c:v>93.1201129174956</c:v>
                </c:pt>
                <c:pt idx="12">
                  <c:v>67.1117525172617</c:v>
                </c:pt>
                <c:pt idx="13">
                  <c:v>79.2337202520311</c:v>
                </c:pt>
                <c:pt idx="14">
                  <c:v>92.9853177152123</c:v>
                </c:pt>
                <c:pt idx="15">
                  <c:v>87.7025505458462</c:v>
                </c:pt>
                <c:pt idx="16">
                  <c:v>85.0491787114109</c:v>
                </c:pt>
                <c:pt idx="17">
                  <c:v>78.0810331311631</c:v>
                </c:pt>
                <c:pt idx="18">
                  <c:v>63.0741717722665</c:v>
                </c:pt>
                <c:pt idx="19">
                  <c:v>63.4157128186677</c:v>
                </c:pt>
                <c:pt idx="20">
                  <c:v>82.5315847912853</c:v>
                </c:pt>
                <c:pt idx="21">
                  <c:v>96.2497681607419</c:v>
                </c:pt>
                <c:pt idx="22">
                  <c:v>93.4592568489293</c:v>
                </c:pt>
                <c:pt idx="23">
                  <c:v>66.5997410747592</c:v>
                </c:pt>
                <c:pt idx="24">
                  <c:v>48.8959400282045</c:v>
                </c:pt>
                <c:pt idx="25">
                  <c:v>44.8290241868224</c:v>
                </c:pt>
                <c:pt idx="26">
                  <c:v>93.9112465558988</c:v>
                </c:pt>
                <c:pt idx="27">
                  <c:v>88.3574271333255</c:v>
                </c:pt>
                <c:pt idx="28">
                  <c:v>86.1086417442568</c:v>
                </c:pt>
                <c:pt idx="29">
                  <c:v>91.3447251114413</c:v>
                </c:pt>
                <c:pt idx="30">
                  <c:v>93.931077972277</c:v>
                </c:pt>
                <c:pt idx="31">
                  <c:v>91.4774269429114</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"全国城市管道燃气普及率81.5%"</c:f>
              <c:strCache>
                <c:ptCount val="1"/>
                <c:pt idx="0">
                  <c:v>全国城市管道燃气普及率81.5%</c:v>
                </c:pt>
              </c:strCache>
            </c:strRef>
          </c:tx>
          <c:spPr>
            <a:ln w="15875" cap="rnd">
              <a:solidFill>
                <a:srgbClr val="002060"/>
              </a:solidFill>
              <a:prstDash val="dash"/>
              <a:round/>
            </a:ln>
            <a:effectLst/>
            <a:sp3d contourW="15875"/>
          </c:spPr>
          <c:marker>
            <c:symbol val="none"/>
          </c:marker>
          <c:dLbls>
            <c:delete val="1"/>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'[22公报数据-前三部分.xlsx]管道燃气普及率'!$H$22:$H$53</c:f>
              <c:numCache>
                <c:formatCode>#,##0.0</c:formatCode>
                <c:ptCount val="32"/>
                <c:pt idx="0">
                  <c:v>81.5374617375638</c:v>
                </c:pt>
                <c:pt idx="1">
                  <c:v>81.5374617375638</c:v>
                </c:pt>
                <c:pt idx="2">
                  <c:v>81.5374617375638</c:v>
                </c:pt>
                <c:pt idx="3">
                  <c:v>81.5374617375638</c:v>
                </c:pt>
                <c:pt idx="4">
                  <c:v>81.5374617375638</c:v>
                </c:pt>
                <c:pt idx="5">
                  <c:v>81.5374617375638</c:v>
                </c:pt>
                <c:pt idx="6">
                  <c:v>81.5374617375638</c:v>
                </c:pt>
                <c:pt idx="7">
                  <c:v>81.5374617375638</c:v>
                </c:pt>
                <c:pt idx="8">
                  <c:v>81.5374617375638</c:v>
                </c:pt>
                <c:pt idx="9">
                  <c:v>81.5374617375638</c:v>
                </c:pt>
                <c:pt idx="10">
                  <c:v>81.5374617375638</c:v>
                </c:pt>
                <c:pt idx="11">
                  <c:v>81.5374617375638</c:v>
                </c:pt>
                <c:pt idx="12">
                  <c:v>81.5374617375638</c:v>
                </c:pt>
                <c:pt idx="13">
                  <c:v>81.5374617375638</c:v>
                </c:pt>
                <c:pt idx="14">
                  <c:v>81.5374617375638</c:v>
                </c:pt>
                <c:pt idx="15">
                  <c:v>81.5374617375638</c:v>
                </c:pt>
                <c:pt idx="16">
                  <c:v>81.5374617375638</c:v>
                </c:pt>
                <c:pt idx="17">
                  <c:v>81.5374617375638</c:v>
                </c:pt>
                <c:pt idx="18">
                  <c:v>81.5374617375638</c:v>
                </c:pt>
                <c:pt idx="19">
                  <c:v>81.5374617375638</c:v>
                </c:pt>
                <c:pt idx="20">
                  <c:v>81.5374617375638</c:v>
                </c:pt>
                <c:pt idx="21">
                  <c:v>81.5374617375638</c:v>
                </c:pt>
                <c:pt idx="22">
                  <c:v>81.5374617375638</c:v>
                </c:pt>
                <c:pt idx="23">
                  <c:v>81.5374617375638</c:v>
                </c:pt>
                <c:pt idx="24">
                  <c:v>81.5374617375638</c:v>
                </c:pt>
                <c:pt idx="25">
                  <c:v>81.5374617375638</c:v>
                </c:pt>
                <c:pt idx="26">
                  <c:v>81.5374617375638</c:v>
                </c:pt>
                <c:pt idx="27">
                  <c:v>81.5374617375638</c:v>
                </c:pt>
                <c:pt idx="28">
                  <c:v>81.5374617375638</c:v>
                </c:pt>
                <c:pt idx="29">
                  <c:v>81.5374617375638</c:v>
                </c:pt>
                <c:pt idx="30">
                  <c:v>81.5374617375638</c:v>
                </c:pt>
                <c:pt idx="31">
                  <c:v>81.5374617375638</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100"/>
          <c:min val="20"/>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74564877060503"/>
          <c:y val="0.11455125425661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rot="0" vert="eaVert"/>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年城市蒸汽供热能力及同比变化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159013441378867"/>
        </c:manualLayout>
      </c:layout>
      <c:overlay val="0"/>
      <c:spPr>
        <a:noFill/>
        <a:ln>
          <a:noFill/>
        </a:ln>
        <a:effectLst/>
      </c:spPr>
    </c:title>
    <c:autoTitleDeleted val="0"/>
    <c:plotArea>
      <c:layout>
        <c:manualLayout>
          <c:layoutTarget val="inner"/>
          <c:xMode val="edge"/>
          <c:yMode val="edge"/>
          <c:x val="0.0856388888888889"/>
          <c:y val="0.208618721461187"/>
          <c:w val="0.833027777777778"/>
          <c:h val="0.672488584474886"/>
        </c:manualLayout>
      </c:layout>
      <c:barChart>
        <c:barDir val="col"/>
        <c:grouping val="clustered"/>
        <c:varyColors val="0"/>
        <c:ser>
          <c:idx val="1"/>
          <c:order val="0"/>
          <c:tx>
            <c:strRef>
              <c:f>"城市蒸汽供热能力"</c:f>
              <c:strCache>
                <c:ptCount val="1"/>
                <c:pt idx="0">
                  <c:v>城市蒸汽供热能力</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'[22公报数据-前三部分0915.xlsx]集中供热能力'!$A$5:$A$14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'[22公报数据-前三部分0915.xlsx]集中供热能力'!$C$5:$C$14</c:f>
              <c:numCache>
                <c:formatCode>0.00_ </c:formatCode>
                <c:ptCount val="10"/>
                <c:pt idx="0">
                  <c:v>8.4362</c:v>
                </c:pt>
                <c:pt idx="1">
                  <c:v>8.4664</c:v>
                </c:pt>
                <c:pt idx="2">
                  <c:v>8.0699</c:v>
                </c:pt>
                <c:pt idx="3">
                  <c:v>7.8307</c:v>
                </c:pt>
                <c:pt idx="4">
                  <c:v>9.8328</c:v>
                </c:pt>
                <c:pt idx="5">
                  <c:v>9.2322</c:v>
                </c:pt>
                <c:pt idx="6">
                  <c:v>10.0943</c:v>
                </c:pt>
                <c:pt idx="7">
                  <c:v>10.3471</c:v>
                </c:pt>
                <c:pt idx="8">
                  <c:v>11.8784</c:v>
                </c:pt>
                <c:pt idx="9">
                  <c:v>12.5543</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sq">
              <a:solidFill>
                <a:srgbClr val="002060"/>
              </a:solidFill>
              <a:round/>
            </a:ln>
            <a:effectLst/>
          </c:spPr>
          <c:marker>
            <c:symbol val="circle"/>
            <c:size val="5"/>
            <c:spPr>
              <a:solidFill>
                <a:schemeClr val="bg1"/>
              </a:solidFill>
              <a:ln w="9525">
                <a:solidFill>
                  <a:srgbClr val="002060"/>
                </a:solidFill>
              </a:ln>
              <a:effectLst/>
            </c:spPr>
          </c:marker>
          <c:dLbls>
            <c:delete val="1"/>
          </c:dLbls>
          <c:cat>
            <c:numRef>
              <c:f>'[22公报数据-前三部分0915.xlsx]集中供热能力'!$A$5:$A$14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'[22公报数据-前三部分0915.xlsx]集中供热能力'!$D$5:$D$14</c:f>
              <c:numCache>
                <c:formatCode>0.00%</c:formatCode>
                <c:ptCount val="10"/>
                <c:pt idx="0">
                  <c:v>-0.0241752648868738</c:v>
                </c:pt>
                <c:pt idx="1">
                  <c:v>0.00357981081529601</c:v>
                </c:pt>
                <c:pt idx="2">
                  <c:v>-0.0468321836908249</c:v>
                </c:pt>
                <c:pt idx="3">
                  <c:v>-0.0296410116606154</c:v>
                </c:pt>
                <c:pt idx="4">
                  <c:v>0.255673183751133</c:v>
                </c:pt>
                <c:pt idx="5">
                  <c:v>-0.0610812789846229</c:v>
                </c:pt>
                <c:pt idx="6">
                  <c:v>0.0933796928142805</c:v>
                </c:pt>
                <c:pt idx="7">
                  <c:v>0.0250438366206669</c:v>
                </c:pt>
                <c:pt idx="8">
                  <c:v>0.147993157503068</c:v>
                </c:pt>
                <c:pt idx="9">
                  <c:v>0.0569016029094829</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万吨</a:t>
                </a:r>
                <a:r>
                  <a:rPr lang="en-US" altLang="zh-CN"/>
                  <a:t>/</a:t>
                </a:r>
                <a:r>
                  <a:rPr altLang="en-US"/>
                  <a:t>小时</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90902777777778"/>
          <c:y val="0.1136206682906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年城市热水供热能力及同比变化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0856164383561644"/>
        </c:manualLayout>
      </c:layout>
      <c:overlay val="0"/>
      <c:spPr>
        <a:noFill/>
        <a:ln>
          <a:noFill/>
        </a:ln>
        <a:effectLst/>
      </c:spPr>
    </c:title>
    <c:autoTitleDeleted val="0"/>
    <c:plotArea>
      <c:layout>
        <c:manualLayout>
          <c:layoutTarget val="inner"/>
          <c:xMode val="edge"/>
          <c:yMode val="edge"/>
          <c:x val="0.0825833333333333"/>
          <c:y val="0.220034246575342"/>
          <c:w val="0.836083333333333"/>
          <c:h val="0.659646118721461"/>
        </c:manualLayout>
      </c:layout>
      <c:barChart>
        <c:barDir val="col"/>
        <c:grouping val="clustered"/>
        <c:varyColors val="0"/>
        <c:ser>
          <c:idx val="1"/>
          <c:order val="0"/>
          <c:tx>
            <c:strRef>
              <c:f>"城市热水供热能力"</c:f>
              <c:strCache>
                <c:ptCount val="1"/>
                <c:pt idx="0">
                  <c:v>城市热水供热能力</c:v>
                </c:pt>
              </c:strCache>
            </c:strRef>
          </c:tx>
          <c:spPr>
            <a:solidFill>
              <a:srgbClr val="C00000"/>
            </a:solidFill>
            <a:ln>
              <a:noFill/>
            </a:ln>
            <a:effectLst/>
          </c:spPr>
          <c:invertIfNegative val="0"/>
          <c:dLbls>
            <c:dLbl>
              <c:idx val="4"/>
              <c:layout>
                <c:manualLayout>
                  <c:x val="-0.00458333333333333"/>
                  <c:y val="0.02226027397260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'[22公报数据-前三部分0915.xlsx]集中供热能力'!$A$27:$A$36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'[22公报数据-前三部分0915.xlsx]集中供热能力'!$C$27:$C$36</c:f>
              <c:numCache>
                <c:formatCode>0.00_ </c:formatCode>
                <c:ptCount val="10"/>
                <c:pt idx="0">
                  <c:v>40.3542</c:v>
                </c:pt>
                <c:pt idx="1">
                  <c:v>44.706831</c:v>
                </c:pt>
                <c:pt idx="2">
                  <c:v>47.255631</c:v>
                </c:pt>
                <c:pt idx="3">
                  <c:v>49.325441</c:v>
                </c:pt>
                <c:pt idx="4">
                  <c:v>64.7827</c:v>
                </c:pt>
                <c:pt idx="5">
                  <c:v>57.8244</c:v>
                </c:pt>
                <c:pt idx="6">
                  <c:v>55.053</c:v>
                </c:pt>
                <c:pt idx="7">
                  <c:v>56.618075</c:v>
                </c:pt>
                <c:pt idx="8">
                  <c:v>59.322561</c:v>
                </c:pt>
                <c:pt idx="9">
                  <c:v>60.0194</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'[22公报数据-前三部分0915.xlsx]集中供热能力'!$A$27:$A$36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'[22公报数据-前三部分0915.xlsx]集中供热能力'!$D$27:$D$36</c:f>
              <c:numCache>
                <c:formatCode>0.00%</c:formatCode>
                <c:ptCount val="10"/>
                <c:pt idx="0">
                  <c:v>0.104753092165419</c:v>
                </c:pt>
                <c:pt idx="1">
                  <c:v>0.107860668777971</c:v>
                </c:pt>
                <c:pt idx="2">
                  <c:v>0.0570114218115796</c:v>
                </c:pt>
                <c:pt idx="3">
                  <c:v>0.0438002827641852</c:v>
                </c:pt>
                <c:pt idx="4">
                  <c:v>0.313372950887555</c:v>
                </c:pt>
                <c:pt idx="5">
                  <c:v>-0.107409848616992</c:v>
                </c:pt>
                <c:pt idx="6">
                  <c:v>-0.0479278643617573</c:v>
                </c:pt>
                <c:pt idx="7">
                  <c:v>0.0284285143407261</c:v>
                </c:pt>
                <c:pt idx="8">
                  <c:v>0.0477671838895972</c:v>
                </c:pt>
                <c:pt idx="9">
                  <c:v>0.0117466101977626</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万兆瓦</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16180555555556"/>
          <c:y val="0.094499663724466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年城市集中供热面积及同比变化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188356164383562"/>
        </c:manualLayout>
      </c:layout>
      <c:overlay val="0"/>
      <c:spPr>
        <a:noFill/>
        <a:ln>
          <a:noFill/>
        </a:ln>
        <a:effectLst/>
      </c:spPr>
    </c:title>
    <c:autoTitleDeleted val="0"/>
    <c:plotArea>
      <c:layout>
        <c:manualLayout>
          <c:layoutTarget val="inner"/>
          <c:xMode val="edge"/>
          <c:yMode val="edge"/>
          <c:x val="0.0856388888888889"/>
          <c:y val="0.209189497716895"/>
          <c:w val="0.841361111111111"/>
          <c:h val="0.662785388127854"/>
        </c:manualLayout>
      </c:layout>
      <c:barChart>
        <c:barDir val="col"/>
        <c:grouping val="clustered"/>
        <c:varyColors val="0"/>
        <c:ser>
          <c:idx val="1"/>
          <c:order val="0"/>
          <c:tx>
            <c:strRef>
              <c:f>"城市集中供热面积"</c:f>
              <c:strCache>
                <c:ptCount val="1"/>
                <c:pt idx="0">
                  <c:v>城市集中供热面积</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'[22公报数据-前三部分0915.xlsx]集中供热面积 '!$A$5:$A$14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'[22公报数据-前三部分0915.xlsx]集中供热面积 '!$C$5:$C$14</c:f>
              <c:numCache>
                <c:formatCode>0.00_ </c:formatCode>
                <c:ptCount val="10"/>
                <c:pt idx="0">
                  <c:v>57.1677</c:v>
                </c:pt>
                <c:pt idx="1">
                  <c:v>61.124586</c:v>
                </c:pt>
                <c:pt idx="2">
                  <c:v>67.220487</c:v>
                </c:pt>
                <c:pt idx="3">
                  <c:v>73.8663</c:v>
                </c:pt>
                <c:pt idx="4">
                  <c:v>83.0858</c:v>
                </c:pt>
                <c:pt idx="5">
                  <c:v>87.804997</c:v>
                </c:pt>
                <c:pt idx="6">
                  <c:v>92.513684</c:v>
                </c:pt>
                <c:pt idx="7">
                  <c:v>98.82091</c:v>
                </c:pt>
                <c:pt idx="8">
                  <c:v>106.031613</c:v>
                </c:pt>
                <c:pt idx="9">
                  <c:v>111.25</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'[22公报数据-前三部分0915.xlsx]集中供热面积 '!$A$5:$A$14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'[22公报数据-前三部分0915.xlsx]集中供热面积 '!$D$5:$D$14</c:f>
              <c:numCache>
                <c:formatCode>0.00%</c:formatCode>
                <c:ptCount val="10"/>
                <c:pt idx="0">
                  <c:v>0.102840067288104</c:v>
                </c:pt>
                <c:pt idx="1">
                  <c:v>0.0692154135989378</c:v>
                </c:pt>
                <c:pt idx="2">
                  <c:v>0.099729117183714</c:v>
                </c:pt>
                <c:pt idx="3">
                  <c:v>0.0988658859314719</c:v>
                </c:pt>
                <c:pt idx="4">
                  <c:v>0.124813345192598</c:v>
                </c:pt>
                <c:pt idx="5">
                  <c:v>0.0567990799871938</c:v>
                </c:pt>
                <c:pt idx="6">
                  <c:v>0.0536266404063541</c:v>
                </c:pt>
                <c:pt idx="7">
                  <c:v>0.068176141380339</c:v>
                </c:pt>
                <c:pt idx="8">
                  <c:v>0.0729673810937381</c:v>
                </c:pt>
                <c:pt idx="9">
                  <c:v>0.0492153882446362</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亿平方米</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9236111111111"/>
          <c:y val="0.1076275176057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mn-lt"/>
                <a:ea typeface="+mn-ea"/>
                <a:cs typeface="+mn-cs"/>
              </a:defRPr>
            </a:pPr>
            <a:r>
              <a:rPr lang="en-US" altLang="en-US" sz="1200">
                <a:solidFill>
                  <a:sysClr val="windowText" lastClr="000000"/>
                </a:solidFill>
                <a:latin typeface="Times New Roman" panose="02020603050405020304" charset="0"/>
                <a:cs typeface="Times New Roman" panose="02020603050405020304" charset="0"/>
              </a:rPr>
              <a:t>2022年全国分省（区、市）和新疆兵团城市集中供热面积</a:t>
            </a:r>
            <a:endParaRPr lang="en-US" altLang="en-US" sz="1200">
              <a:solidFill>
                <a:sysClr val="windowText" lastClr="000000"/>
              </a:solidFill>
              <a:latin typeface="Times New Roman" panose="02020603050405020304" charset="0"/>
              <a:cs typeface="Times New Roman" panose="02020603050405020304" charset="0"/>
            </a:endParaRPr>
          </a:p>
        </c:rich>
      </c:tx>
      <c:layout>
        <c:manualLayout>
          <c:xMode val="edge"/>
          <c:yMode val="edge"/>
          <c:x val="0.177981131709725"/>
          <c:y val="0.00914355379457482"/>
        </c:manualLayout>
      </c:layout>
      <c:overlay val="0"/>
      <c:spPr>
        <a:noFill/>
        <a:ln>
          <a:noFill/>
        </a:ln>
        <a:effectLst/>
      </c:spPr>
    </c:title>
    <c:autoTitleDeleted val="0"/>
    <c:plotArea>
      <c:layout>
        <c:manualLayout>
          <c:layoutTarget val="inner"/>
          <c:xMode val="edge"/>
          <c:yMode val="edge"/>
          <c:x val="0.0800722891566265"/>
          <c:y val="0.171636615811373"/>
          <c:w val="0.893903614457831"/>
          <c:h val="0.510887656033287"/>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'[22公报数据-前三部分.xlsx]集中供热面积'!$A$32:$A$63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'[22公报数据-前三部分.xlsx]集中供热面积'!$C$32:$C$63</c:f>
              <c:numCache>
                <c:formatCode>0.00_ </c:formatCode>
                <c:ptCount val="32"/>
                <c:pt idx="0">
                  <c:v>7.13005</c:v>
                </c:pt>
                <c:pt idx="1">
                  <c:v>5.864834</c:v>
                </c:pt>
                <c:pt idx="2">
                  <c:v>9.603357</c:v>
                </c:pt>
                <c:pt idx="3">
                  <c:v>8.306971</c:v>
                </c:pt>
                <c:pt idx="4">
                  <c:v>6.879431</c:v>
                </c:pt>
                <c:pt idx="5">
                  <c:v>14.532042</c:v>
                </c:pt>
                <c:pt idx="6">
                  <c:v>7.194118</c:v>
                </c:pt>
                <c:pt idx="7">
                  <c:v>9.041643</c:v>
                </c:pt>
                <c:pt idx="9">
                  <c:v>0.354515</c:v>
                </c:pt>
                <c:pt idx="11">
                  <c:v>0.268375</c:v>
                </c:pt>
                <c:pt idx="14">
                  <c:v>19.231232</c:v>
                </c:pt>
                <c:pt idx="15">
                  <c:v>6.44031</c:v>
                </c:pt>
                <c:pt idx="16">
                  <c:v>0.200809</c:v>
                </c:pt>
                <c:pt idx="22">
                  <c:v>0.001948</c:v>
                </c:pt>
                <c:pt idx="23">
                  <c:v>0.020543</c:v>
                </c:pt>
                <c:pt idx="24">
                  <c:v>0.0188</c:v>
                </c:pt>
                <c:pt idx="25">
                  <c:v>0.0184</c:v>
                </c:pt>
                <c:pt idx="26">
                  <c:v>5.277685</c:v>
                </c:pt>
                <c:pt idx="27">
                  <c:v>3.070164</c:v>
                </c:pt>
                <c:pt idx="28">
                  <c:v>1.03966</c:v>
                </c:pt>
                <c:pt idx="29">
                  <c:v>1.561151</c:v>
                </c:pt>
                <c:pt idx="30">
                  <c:v>4.563522</c:v>
                </c:pt>
                <c:pt idx="31">
                  <c:v>0.630453</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mn-lt"/>
                    <a:ea typeface="+mn-ea"/>
                    <a:cs typeface="+mn-cs"/>
                  </a:defRPr>
                </a:pPr>
                <a:r>
                  <a:rPr>
                    <a:latin typeface="Times New Roman" panose="02020603050405020304" charset="0"/>
                  </a:rPr>
                  <a:t>亿平方米</a:t>
                </a:r>
                <a:endParaRPr>
                  <a:latin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年城市已建成和在建轨道交通长度及同比</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6635053241882"/>
          <c:y val="0.024083946101773"/>
        </c:manualLayout>
      </c:layout>
      <c:overlay val="0"/>
      <c:spPr>
        <a:noFill/>
        <a:ln>
          <a:noFill/>
        </a:ln>
        <a:effectLst/>
      </c:spPr>
    </c:title>
    <c:autoTitleDeleted val="0"/>
    <c:plotArea>
      <c:layout>
        <c:manualLayout>
          <c:layoutTarget val="inner"/>
          <c:xMode val="edge"/>
          <c:yMode val="edge"/>
          <c:x val="0.110779220779221"/>
          <c:y val="0.359456635318704"/>
          <c:w val="0.813939393939394"/>
          <c:h val="0.514211076280042"/>
        </c:manualLayout>
      </c:layout>
      <c:barChart>
        <c:barDir val="col"/>
        <c:grouping val="clustered"/>
        <c:varyColors val="0"/>
        <c:ser>
          <c:idx val="0"/>
          <c:order val="0"/>
          <c:tx>
            <c:strRef>
              <c:f>"已建成长度"</c:f>
              <c:strCache>
                <c:ptCount val="1"/>
                <c:pt idx="0">
                  <c:v>已建成长度</c:v>
                </c:pt>
              </c:strCache>
            </c:strRef>
          </c:tx>
          <c:spPr>
            <a:solidFill>
              <a:srgbClr val="C00000"/>
            </a:solidFill>
            <a:ln>
              <a:noFill/>
            </a:ln>
            <a:effectLst/>
          </c:spPr>
          <c:invertIfNegative val="0"/>
          <c:dLbls>
            <c:dLbl>
              <c:idx val="8"/>
              <c:layout>
                <c:manualLayout>
                  <c:x val="0.00132546089890348"/>
                  <c:y val="0.02772920309767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'[22年公报图表四五六部分 0915.xlsx]第五部分-轨道交通'!$A$5:$A$14</c:f>
              <c:strCache>
                <c:ptCount val="10"/>
                <c:pt idx="0" c:formatCode="@">
                  <c:v>2013</c:v>
                </c:pt>
                <c:pt idx="1" c:formatCode="@">
                  <c:v>2014</c:v>
                </c:pt>
                <c:pt idx="2" c:formatCode="@">
                  <c:v>2015</c:v>
                </c:pt>
                <c:pt idx="3" c:formatCode="@">
                  <c:v>2016</c:v>
                </c:pt>
                <c:pt idx="4" c:formatCode="@">
                  <c:v>2017</c:v>
                </c:pt>
                <c:pt idx="5" c:formatCode="@">
                  <c:v>2018</c:v>
                </c:pt>
                <c:pt idx="6" c:formatCode="@">
                  <c:v>2019</c:v>
                </c:pt>
                <c:pt idx="7" c:formatCode="@">
                  <c:v>2020</c:v>
                </c:pt>
                <c:pt idx="8" c:formatCode="@">
                  <c:v>2021</c:v>
                </c:pt>
                <c:pt idx="9" c:formatCode="@">
                  <c:v>2022</c:v>
                </c:pt>
              </c:strCache>
            </c:strRef>
          </c:cat>
          <c:val>
            <c:numRef>
              <c:f>'[22年公报图表四五六部分 0915.xlsx]第五部分-轨道交通'!$B$5:$B$14</c:f>
              <c:numCache>
                <c:formatCode>0.00_);[Red]\(0.00\)</c:formatCode>
                <c:ptCount val="10"/>
                <c:pt idx="0">
                  <c:v>2213.28</c:v>
                </c:pt>
                <c:pt idx="1">
                  <c:v>2714.79</c:v>
                </c:pt>
                <c:pt idx="2">
                  <c:v>3069.23</c:v>
                </c:pt>
                <c:pt idx="3">
                  <c:v>3586.34</c:v>
                </c:pt>
                <c:pt idx="4">
                  <c:v>4594.26</c:v>
                </c:pt>
                <c:pt idx="5">
                  <c:v>5141.05</c:v>
                </c:pt>
                <c:pt idx="6">
                  <c:v>6058.9</c:v>
                </c:pt>
                <c:pt idx="7">
                  <c:v>7597.94</c:v>
                </c:pt>
                <c:pt idx="8">
                  <c:v>8571.43</c:v>
                </c:pt>
                <c:pt idx="9">
                  <c:v>9575.01</c:v>
                </c:pt>
              </c:numCache>
            </c:numRef>
          </c:val>
        </c:ser>
        <c:ser>
          <c:idx val="1"/>
          <c:order val="1"/>
          <c:tx>
            <c:strRef>
              <c:f>"在建长度"</c:f>
              <c:strCache>
                <c:ptCount val="1"/>
                <c:pt idx="0">
                  <c:v>在建长度</c:v>
                </c:pt>
              </c:strCache>
            </c:strRef>
          </c:tx>
          <c:spPr>
            <a:solidFill>
              <a:srgbClr val="002060"/>
            </a:solidFill>
            <a:ln>
              <a:noFill/>
            </a:ln>
            <a:effectLst/>
          </c:spPr>
          <c:invertIfNegative val="0"/>
          <c:dLbls>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'[22年公报图表四五六部分 0915.xlsx]第五部分-轨道交通'!$A$5:$A$14</c:f>
              <c:strCache>
                <c:ptCount val="10"/>
                <c:pt idx="0" c:formatCode="@">
                  <c:v>2013</c:v>
                </c:pt>
                <c:pt idx="1" c:formatCode="@">
                  <c:v>2014</c:v>
                </c:pt>
                <c:pt idx="2" c:formatCode="@">
                  <c:v>2015</c:v>
                </c:pt>
                <c:pt idx="3" c:formatCode="@">
                  <c:v>2016</c:v>
                </c:pt>
                <c:pt idx="4" c:formatCode="@">
                  <c:v>2017</c:v>
                </c:pt>
                <c:pt idx="5" c:formatCode="@">
                  <c:v>2018</c:v>
                </c:pt>
                <c:pt idx="6" c:formatCode="@">
                  <c:v>2019</c:v>
                </c:pt>
                <c:pt idx="7" c:formatCode="@">
                  <c:v>2020</c:v>
                </c:pt>
                <c:pt idx="8" c:formatCode="@">
                  <c:v>2021</c:v>
                </c:pt>
                <c:pt idx="9" c:formatCode="@">
                  <c:v>2022</c:v>
                </c:pt>
              </c:strCache>
            </c:strRef>
          </c:cat>
          <c:val>
            <c:numRef>
              <c:f>'[22年公报图表四五六部分 0915.xlsx]第五部分-轨道交通'!$C$5:$C$14</c:f>
              <c:numCache>
                <c:formatCode>0.00_ </c:formatCode>
                <c:ptCount val="10"/>
                <c:pt idx="0">
                  <c:v>2760.38</c:v>
                </c:pt>
                <c:pt idx="1">
                  <c:v>3004.37</c:v>
                </c:pt>
                <c:pt idx="2">
                  <c:v>3994.15</c:v>
                </c:pt>
                <c:pt idx="3">
                  <c:v>4870.18</c:v>
                </c:pt>
                <c:pt idx="4">
                  <c:v>4913.56</c:v>
                </c:pt>
                <c:pt idx="5">
                  <c:v>5400.25</c:v>
                </c:pt>
                <c:pt idx="6">
                  <c:v>5594.08</c:v>
                </c:pt>
                <c:pt idx="7">
                  <c:v>5093.55</c:v>
                </c:pt>
                <c:pt idx="8">
                  <c:v>5172.3</c:v>
                </c:pt>
                <c:pt idx="9">
                  <c:v>4802.89</c:v>
                </c:pt>
              </c:numCache>
            </c:numRef>
          </c:val>
        </c:ser>
        <c:dLbls>
          <c:showLegendKey val="0"/>
          <c:showVal val="1"/>
          <c:showCatName val="0"/>
          <c:showSerName val="0"/>
          <c:showPercent val="0"/>
          <c:showBubbleSize val="0"/>
        </c:dLbls>
        <c:gapWidth val="219"/>
        <c:overlap val="-27"/>
        <c:axId val="229917756"/>
        <c:axId val="295887690"/>
      </c:barChart>
      <c:lineChart>
        <c:grouping val="standard"/>
        <c:varyColors val="0"/>
        <c:ser>
          <c:idx val="2"/>
          <c:order val="2"/>
          <c:tx>
            <c:strRef>
              <c:f>"已建成同比"</c:f>
              <c:strCache>
                <c:ptCount val="1"/>
                <c:pt idx="0">
                  <c:v>已建成同比</c:v>
                </c:pt>
              </c:strCache>
            </c:strRef>
          </c:tx>
          <c:spPr>
            <a:ln w="28575" cap="rnd">
              <a:solidFill>
                <a:srgbClr val="C00000"/>
              </a:solidFill>
              <a:round/>
            </a:ln>
            <a:effectLst/>
          </c:spPr>
          <c:marker>
            <c:symbol val="circle"/>
            <c:size val="5"/>
            <c:spPr>
              <a:solidFill>
                <a:schemeClr val="bg1"/>
              </a:solidFill>
              <a:ln w="9525">
                <a:solidFill>
                  <a:srgbClr val="C00000"/>
                </a:solidFill>
              </a:ln>
              <a:effectLst/>
            </c:spPr>
          </c:marker>
          <c:dLbls>
            <c:delete val="1"/>
          </c:dLbls>
          <c:cat>
            <c:strRef>
              <c:f>'[22年公报图表四五六部分 0915.xlsx]第五部分-轨道交通'!$A$5:$A$14</c:f>
              <c:strCache>
                <c:ptCount val="10"/>
                <c:pt idx="0" c:formatCode="@">
                  <c:v>2013</c:v>
                </c:pt>
                <c:pt idx="1" c:formatCode="@">
                  <c:v>2014</c:v>
                </c:pt>
                <c:pt idx="2" c:formatCode="@">
                  <c:v>2015</c:v>
                </c:pt>
                <c:pt idx="3" c:formatCode="@">
                  <c:v>2016</c:v>
                </c:pt>
                <c:pt idx="4" c:formatCode="@">
                  <c:v>2017</c:v>
                </c:pt>
                <c:pt idx="5" c:formatCode="@">
                  <c:v>2018</c:v>
                </c:pt>
                <c:pt idx="6" c:formatCode="@">
                  <c:v>2019</c:v>
                </c:pt>
                <c:pt idx="7" c:formatCode="@">
                  <c:v>2020</c:v>
                </c:pt>
                <c:pt idx="8" c:formatCode="@">
                  <c:v>2021</c:v>
                </c:pt>
                <c:pt idx="9" c:formatCode="@">
                  <c:v>2022</c:v>
                </c:pt>
              </c:strCache>
            </c:strRef>
          </c:cat>
          <c:val>
            <c:numRef>
              <c:f>'[22年公报图表四五六部分 0915.xlsx]第五部分-轨道交通'!$D$5:$D$14</c:f>
              <c:numCache>
                <c:formatCode>0.00%</c:formatCode>
                <c:ptCount val="10"/>
                <c:pt idx="0">
                  <c:v>0.103588577582983</c:v>
                </c:pt>
                <c:pt idx="1">
                  <c:v>0.226591303404901</c:v>
                </c:pt>
                <c:pt idx="2">
                  <c:v>0.130558901425156</c:v>
                </c:pt>
                <c:pt idx="3">
                  <c:v>0.168481997113282</c:v>
                </c:pt>
                <c:pt idx="4">
                  <c:v>0.28104418432162</c:v>
                </c:pt>
                <c:pt idx="5">
                  <c:v>0.11901590245219</c:v>
                </c:pt>
                <c:pt idx="6">
                  <c:v>0.178533568045438</c:v>
                </c:pt>
                <c:pt idx="7">
                  <c:v>0.25401310468897</c:v>
                </c:pt>
                <c:pt idx="8">
                  <c:v>0.128125518232574</c:v>
                </c:pt>
                <c:pt idx="9">
                  <c:v>0.117084313819281</c:v>
                </c:pt>
              </c:numCache>
            </c:numRef>
          </c:val>
          <c:smooth val="0"/>
        </c:ser>
        <c:ser>
          <c:idx val="3"/>
          <c:order val="3"/>
          <c:tx>
            <c:strRef>
              <c:f>"在建同比"</c:f>
              <c:strCache>
                <c:ptCount val="1"/>
                <c:pt idx="0">
                  <c:v>在建同比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strRef>
              <c:f>'[22年公报图表四五六部分 0915.xlsx]第五部分-轨道交通'!$A$5:$A$14</c:f>
              <c:strCache>
                <c:ptCount val="10"/>
                <c:pt idx="0" c:formatCode="@">
                  <c:v>2013</c:v>
                </c:pt>
                <c:pt idx="1" c:formatCode="@">
                  <c:v>2014</c:v>
                </c:pt>
                <c:pt idx="2" c:formatCode="@">
                  <c:v>2015</c:v>
                </c:pt>
                <c:pt idx="3" c:formatCode="@">
                  <c:v>2016</c:v>
                </c:pt>
                <c:pt idx="4" c:formatCode="@">
                  <c:v>2017</c:v>
                </c:pt>
                <c:pt idx="5" c:formatCode="@">
                  <c:v>2018</c:v>
                </c:pt>
                <c:pt idx="6" c:formatCode="@">
                  <c:v>2019</c:v>
                </c:pt>
                <c:pt idx="7" c:formatCode="@">
                  <c:v>2020</c:v>
                </c:pt>
                <c:pt idx="8" c:formatCode="@">
                  <c:v>2021</c:v>
                </c:pt>
                <c:pt idx="9" c:formatCode="@">
                  <c:v>2022</c:v>
                </c:pt>
              </c:strCache>
            </c:strRef>
          </c:cat>
          <c:val>
            <c:numRef>
              <c:f>'[22年公报图表四五六部分 0915.xlsx]第五部分-轨道交通'!$E$5:$E$14</c:f>
              <c:numCache>
                <c:formatCode>0.00%</c:formatCode>
                <c:ptCount val="10"/>
                <c:pt idx="0">
                  <c:v>0.33971064292405</c:v>
                </c:pt>
                <c:pt idx="1">
                  <c:v>0.0883900042747736</c:v>
                </c:pt>
                <c:pt idx="2">
                  <c:v>0.329446772534675</c:v>
                </c:pt>
                <c:pt idx="3">
                  <c:v>0.219328267591352</c:v>
                </c:pt>
                <c:pt idx="4">
                  <c:v>0.00890726831451816</c:v>
                </c:pt>
                <c:pt idx="5">
                  <c:v>0.0990503830216787</c:v>
                </c:pt>
                <c:pt idx="6">
                  <c:v>0.0358927827415396</c:v>
                </c:pt>
                <c:pt idx="7">
                  <c:v>-0.0894749449417958</c:v>
                </c:pt>
                <c:pt idx="8">
                  <c:v>0.015460729746444</c:v>
                </c:pt>
                <c:pt idx="9">
                  <c:v>-0.0714208379251011</c:v>
                </c:pt>
              </c:numCache>
            </c:numRef>
          </c:val>
          <c:smooth val="0"/>
        </c:ser>
        <c:dLbls>
          <c:showLegendKey val="0"/>
          <c:showVal val="0"/>
          <c:showCatName val="0"/>
          <c:showSerName val="0"/>
          <c:showPercent val="0"/>
          <c:showBubbleSize val="0"/>
        </c:dLbls>
        <c:marker val="1"/>
        <c:smooth val="0"/>
        <c:axId val="881448069"/>
        <c:axId val="311120169"/>
      </c:lineChart>
      <c:catAx>
        <c:axId val="229917756"/>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295887690"/>
        <c:crosses val="autoZero"/>
        <c:auto val="1"/>
        <c:lblAlgn val="ctr"/>
        <c:lblOffset val="100"/>
        <c:noMultiLvlLbl val="0"/>
      </c:catAx>
      <c:valAx>
        <c:axId val="295887690"/>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公里</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229917756"/>
        <c:crosses val="autoZero"/>
        <c:crossBetween val="between"/>
      </c:valAx>
      <c:catAx>
        <c:axId val="881448069"/>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11120169"/>
        <c:crosses val="autoZero"/>
        <c:auto val="1"/>
        <c:lblAlgn val="ctr"/>
        <c:lblOffset val="100"/>
        <c:noMultiLvlLbl val="0"/>
      </c:catAx>
      <c:valAx>
        <c:axId val="311120169"/>
        <c:scaling>
          <c:orientation val="minMax"/>
        </c:scaling>
        <c:delete val="0"/>
        <c:axPos val="r"/>
        <c:numFmt formatCode="0%" sourceLinked="0"/>
        <c:majorTickMark val="in"/>
        <c:minorTickMark val="none"/>
        <c:tickLblPos val="nextTo"/>
        <c:spPr>
          <a:noFill/>
          <a:ln>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48069"/>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04522072581623"/>
          <c:y val="0.13685793096942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年城市城区人口及同比变化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35573730303645"/>
          <c:y val="0.0157638487756921"/>
        </c:manualLayout>
      </c:layout>
      <c:overlay val="0"/>
      <c:spPr>
        <a:noFill/>
        <a:ln>
          <a:noFill/>
        </a:ln>
        <a:effectLst/>
      </c:spPr>
    </c:title>
    <c:autoTitleDeleted val="0"/>
    <c:plotArea>
      <c:layout>
        <c:manualLayout>
          <c:layoutTarget val="inner"/>
          <c:xMode val="edge"/>
          <c:yMode val="edge"/>
          <c:x val="0.0855264759586123"/>
          <c:y val="0.194460641399417"/>
          <c:w val="0.842702373706634"/>
          <c:h val="0.685539358600583"/>
        </c:manualLayout>
      </c:layout>
      <c:barChart>
        <c:barDir val="col"/>
        <c:grouping val="clustered"/>
        <c:varyColors val="0"/>
        <c:ser>
          <c:idx val="1"/>
          <c:order val="0"/>
          <c:tx>
            <c:strRef>
              <c:f>"城市城区人口"</c:f>
              <c:strCache>
                <c:ptCount val="1"/>
                <c:pt idx="0">
                  <c:v>城市城区人口</c:v>
                </c:pt>
              </c:strCache>
            </c:strRef>
          </c:tx>
          <c:spPr>
            <a:solidFill>
              <a:srgbClr val="C00000"/>
            </a:solidFill>
            <a:ln>
              <a:noFill/>
            </a:ln>
            <a:effectLst/>
          </c:spPr>
          <c:invertIfNegative val="0"/>
          <c:dLbls>
            <c:dLbl>
              <c:idx val="0"/>
              <c:layout>
                <c:manualLayout>
                  <c:x val="0"/>
                  <c:y val="-0.025947521865889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373097991479"/>
                  <c:y val="-0.02915451895043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067055393586005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4518950437317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'[22公报数据-前三部分0915.xlsx]城区人口'!$A$5:$A$14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'[22公报数据-前三部分0915.xlsx]城区人口'!$D$5:$D$14</c:f>
              <c:numCache>
                <c:formatCode>0.00_ </c:formatCode>
                <c:ptCount val="10"/>
                <c:pt idx="0">
                  <c:v>4.33182</c:v>
                </c:pt>
                <c:pt idx="1">
                  <c:v>4.452804</c:v>
                </c:pt>
                <c:pt idx="2">
                  <c:v>4.59993</c:v>
                </c:pt>
                <c:pt idx="3">
                  <c:v>4.771318</c:v>
                </c:pt>
                <c:pt idx="4">
                  <c:v>4.91398</c:v>
                </c:pt>
                <c:pt idx="5">
                  <c:v>5.115172</c:v>
                </c:pt>
                <c:pt idx="6">
                  <c:v>5.24156</c:v>
                </c:pt>
                <c:pt idx="7">
                  <c:v>5.376276</c:v>
                </c:pt>
                <c:pt idx="8">
                  <c:v>5.592796</c:v>
                </c:pt>
                <c:pt idx="9">
                  <c:v>5.648817</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'[22公报数据-前三部分0915.xlsx]城区人口'!$A$5:$A$14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'[22公报数据-前三部分0915.xlsx]城区人口'!$E$5:$E$14</c:f>
              <c:numCache>
                <c:formatCode>0.00%</c:formatCode>
                <c:ptCount val="10"/>
                <c:pt idx="0">
                  <c:v>0.0258461451021623</c:v>
                </c:pt>
                <c:pt idx="1">
                  <c:v>0.0279291383298477</c:v>
                </c:pt>
                <c:pt idx="2">
                  <c:v>0.0330412028016502</c:v>
                </c:pt>
                <c:pt idx="3">
                  <c:v>0.0372588278517283</c:v>
                </c:pt>
                <c:pt idx="4">
                  <c:v>0.029899914447119</c:v>
                </c:pt>
                <c:pt idx="5">
                  <c:v>0.0409427795798927</c:v>
                </c:pt>
                <c:pt idx="6">
                  <c:v>0.0247084555514456</c:v>
                </c:pt>
                <c:pt idx="7">
                  <c:v>0.0257015087111472</c:v>
                </c:pt>
                <c:pt idx="8">
                  <c:v>0.0402732300201851</c:v>
                </c:pt>
                <c:pt idx="9">
                  <c:v>0.0100166356863365</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in val="3"/>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亿人</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55011876986542"/>
          <c:y val="0.12234888560499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年全国分省（区、市）和新疆兵团城市已建成轨道交通长度</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42399626615979"/>
          <c:y val="0.0102739726027397"/>
        </c:manualLayout>
      </c:layout>
      <c:overlay val="0"/>
      <c:spPr>
        <a:noFill/>
        <a:ln>
          <a:noFill/>
        </a:ln>
        <a:effectLst/>
      </c:spPr>
    </c:title>
    <c:autoTitleDeleted val="0"/>
    <c:plotArea>
      <c:layout>
        <c:manualLayout>
          <c:layoutTarget val="inner"/>
          <c:xMode val="edge"/>
          <c:yMode val="edge"/>
          <c:x val="0.103325581395349"/>
          <c:y val="0.3"/>
          <c:w val="0.871093023255814"/>
          <c:h val="0.386438356164384"/>
        </c:manualLayout>
      </c:layout>
      <c:barChart>
        <c:barDir val="col"/>
        <c:grouping val="clustered"/>
        <c:varyColors val="0"/>
        <c:ser>
          <c:idx val="0"/>
          <c:order val="0"/>
          <c:tx>
            <c:strRef>
              <c:f>"已建成长度"</c:f>
              <c:strCache>
                <c:ptCount val="1"/>
                <c:pt idx="0">
                  <c:v>已建成长度</c:v>
                </c:pt>
              </c:strCache>
            </c:strRef>
          </c:tx>
          <c:spPr>
            <a:solidFill>
              <a:srgbClr val="C00000"/>
            </a:solidFill>
            <a:ln>
              <a:noFill/>
            </a:ln>
            <a:effectLst/>
          </c:spPr>
          <c:invertIfNegative val="0"/>
          <c:dLbls>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'[22年公报图表四五六部分.xlsx]第五部分-轨道交通'!$B$21:$B$52</c:f>
              <c:numCache>
                <c:formatCode>0.00_);[Red]\(0.00\)</c:formatCode>
                <c:ptCount val="32"/>
                <c:pt idx="0">
                  <c:v>864.13</c:v>
                </c:pt>
                <c:pt idx="1">
                  <c:v>293.86</c:v>
                </c:pt>
                <c:pt idx="2">
                  <c:v>76.4</c:v>
                </c:pt>
                <c:pt idx="3">
                  <c:v>23.65</c:v>
                </c:pt>
                <c:pt idx="4">
                  <c:v>49.03</c:v>
                </c:pt>
                <c:pt idx="5">
                  <c:v>428.62</c:v>
                </c:pt>
                <c:pt idx="6">
                  <c:v>108.71</c:v>
                </c:pt>
                <c:pt idx="7">
                  <c:v>79.72</c:v>
                </c:pt>
                <c:pt idx="8">
                  <c:v>831.58</c:v>
                </c:pt>
                <c:pt idx="9">
                  <c:v>1055.41</c:v>
                </c:pt>
                <c:pt idx="10">
                  <c:v>797.24</c:v>
                </c:pt>
                <c:pt idx="11">
                  <c:v>217.2</c:v>
                </c:pt>
                <c:pt idx="12">
                  <c:v>212.01</c:v>
                </c:pt>
                <c:pt idx="13">
                  <c:v>128.31</c:v>
                </c:pt>
                <c:pt idx="14">
                  <c:v>407.96</c:v>
                </c:pt>
                <c:pt idx="15">
                  <c:v>238.36</c:v>
                </c:pt>
                <c:pt idx="16">
                  <c:v>536.87</c:v>
                </c:pt>
                <c:pt idx="17">
                  <c:v>238.93</c:v>
                </c:pt>
                <c:pt idx="18">
                  <c:v>1242.94</c:v>
                </c:pt>
                <c:pt idx="19">
                  <c:v>128.44</c:v>
                </c:pt>
                <c:pt idx="20">
                  <c:v>8.37</c:v>
                </c:pt>
                <c:pt idx="21">
                  <c:v>459.89</c:v>
                </c:pt>
                <c:pt idx="22">
                  <c:v>554.7</c:v>
                </c:pt>
                <c:pt idx="23">
                  <c:v>75.71</c:v>
                </c:pt>
                <c:pt idx="24">
                  <c:v>179.31</c:v>
                </c:pt>
                <c:pt idx="26">
                  <c:v>271.2</c:v>
                </c:pt>
                <c:pt idx="27">
                  <c:v>38.84</c:v>
                </c:pt>
                <c:pt idx="30">
                  <c:v>27.62</c:v>
                </c:pt>
              </c:numCache>
            </c:numRef>
          </c:val>
        </c:ser>
        <c:dLbls>
          <c:showLegendKey val="0"/>
          <c:showVal val="1"/>
          <c:showCatName val="0"/>
          <c:showSerName val="0"/>
          <c:showPercent val="0"/>
          <c:showBubbleSize val="0"/>
        </c:dLbls>
        <c:gapWidth val="100"/>
        <c:overlap val="-39"/>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mongolianVert" wrap="square" anchor="ctr" anchorCtr="1"/>
              <a:lstStyle/>
              <a:p>
                <a:pPr defTabSz="914400">
                  <a:defRPr lang="zh-CN" sz="1000" b="0" i="0" u="none" strike="noStrike" kern="1200" baseline="0">
                    <a:solidFill>
                      <a:sysClr val="windowText" lastClr="000000"/>
                    </a:solidFill>
                    <a:latin typeface="+mn-lt"/>
                    <a:ea typeface="+mn-ea"/>
                    <a:cs typeface="+mn-cs"/>
                  </a:defRPr>
                </a:pPr>
                <a:r>
                  <a:t>公里</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年全国分省（区、市）和新疆兵团城市在建轨道交通长度</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63412482710661"/>
          <c:y val="0.0119379228014326"/>
        </c:manualLayout>
      </c:layout>
      <c:overlay val="0"/>
      <c:spPr>
        <a:noFill/>
        <a:ln>
          <a:noFill/>
        </a:ln>
        <a:effectLst/>
      </c:spPr>
    </c:title>
    <c:autoTitleDeleted val="0"/>
    <c:plotArea>
      <c:layout>
        <c:manualLayout>
          <c:layoutTarget val="inner"/>
          <c:xMode val="edge"/>
          <c:yMode val="edge"/>
          <c:x val="0.080891448069951"/>
          <c:y val="0.275506698728959"/>
          <c:w val="0.865365749626786"/>
          <c:h val="0.409962212298179"/>
        </c:manualLayout>
      </c:layout>
      <c:barChart>
        <c:barDir val="col"/>
        <c:grouping val="clustered"/>
        <c:varyColors val="0"/>
        <c:ser>
          <c:idx val="1"/>
          <c:order val="0"/>
          <c:tx>
            <c:strRef>
              <c:f>"在建长度"</c:f>
              <c:strCache>
                <c:ptCount val="1"/>
                <c:pt idx="0">
                  <c:v>在建长度</c:v>
                </c:pt>
              </c:strCache>
            </c:strRef>
          </c:tx>
          <c:spPr>
            <a:solidFill>
              <a:srgbClr val="002060"/>
            </a:solidFill>
            <a:ln>
              <a:noFill/>
            </a:ln>
            <a:effectLst/>
          </c:spPr>
          <c:invertIfNegative val="0"/>
          <c:dLbls>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'[22年公报图表四五六部分.xlsx]第五部分-轨道交通'!$C$21:$C$52</c:f>
              <c:numCache>
                <c:formatCode>0.00_ </c:formatCode>
                <c:ptCount val="32"/>
                <c:pt idx="0">
                  <c:v>262.17</c:v>
                </c:pt>
                <c:pt idx="1">
                  <c:v>210.4</c:v>
                </c:pt>
                <c:pt idx="2">
                  <c:v>45.3</c:v>
                </c:pt>
                <c:pt idx="3">
                  <c:v>28.74</c:v>
                </c:pt>
                <c:pt idx="5">
                  <c:v>187.89</c:v>
                </c:pt>
                <c:pt idx="6">
                  <c:v>124.93</c:v>
                </c:pt>
                <c:pt idx="7">
                  <c:v>12.99</c:v>
                </c:pt>
                <c:pt idx="8">
                  <c:v>161.85</c:v>
                </c:pt>
                <c:pt idx="9">
                  <c:v>562.83</c:v>
                </c:pt>
                <c:pt idx="10">
                  <c:v>452.87</c:v>
                </c:pt>
                <c:pt idx="11">
                  <c:v>160.61</c:v>
                </c:pt>
                <c:pt idx="12">
                  <c:v>228.78</c:v>
                </c:pt>
                <c:pt idx="13">
                  <c:v>31.75</c:v>
                </c:pt>
                <c:pt idx="14">
                  <c:v>388.02</c:v>
                </c:pt>
                <c:pt idx="15">
                  <c:v>217.07</c:v>
                </c:pt>
                <c:pt idx="16">
                  <c:v>146.72</c:v>
                </c:pt>
                <c:pt idx="17">
                  <c:v>83.76</c:v>
                </c:pt>
                <c:pt idx="18">
                  <c:v>628.54</c:v>
                </c:pt>
                <c:pt idx="19">
                  <c:v>3.9</c:v>
                </c:pt>
                <c:pt idx="21">
                  <c:v>281.43</c:v>
                </c:pt>
                <c:pt idx="22">
                  <c:v>256.28</c:v>
                </c:pt>
                <c:pt idx="23">
                  <c:v>73.35</c:v>
                </c:pt>
                <c:pt idx="24">
                  <c:v>20.34</c:v>
                </c:pt>
                <c:pt idx="26">
                  <c:v>162.2</c:v>
                </c:pt>
                <c:pt idx="27">
                  <c:v>9.06</c:v>
                </c:pt>
                <c:pt idx="30">
                  <c:v>61.11</c:v>
                </c:pt>
              </c:numCache>
            </c:numRef>
          </c:val>
        </c:ser>
        <c:dLbls>
          <c:showLegendKey val="0"/>
          <c:showVal val="1"/>
          <c:showCatName val="0"/>
          <c:showSerName val="0"/>
          <c:showPercent val="0"/>
          <c:showBubbleSize val="0"/>
        </c:dLbls>
        <c:gapWidth val="100"/>
        <c:overlap val="-39"/>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mongolianVert" wrap="square" anchor="ctr" anchorCtr="1"/>
              <a:lstStyle/>
              <a:p>
                <a:pPr defTabSz="914400">
                  <a:defRPr lang="zh-CN" sz="1000" b="0" i="0" u="none" strike="noStrike" kern="1200" baseline="0">
                    <a:solidFill>
                      <a:sysClr val="windowText" lastClr="000000"/>
                    </a:solidFill>
                    <a:latin typeface="+mn-lt"/>
                    <a:ea typeface="+mn-ea"/>
                    <a:cs typeface="+mn-cs"/>
                  </a:defRPr>
                </a:pPr>
                <a:r>
                  <a:t>公里</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年全国城市道路长度及同比变化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6532234105763"/>
          <c:y val="0.00856164383561644"/>
        </c:manualLayout>
      </c:layout>
      <c:overlay val="0"/>
      <c:spPr>
        <a:noFill/>
        <a:ln>
          <a:noFill/>
        </a:ln>
        <a:effectLst/>
      </c:spPr>
    </c:title>
    <c:autoTitleDeleted val="0"/>
    <c:plotArea>
      <c:layout>
        <c:manualLayout>
          <c:layoutTarget val="inner"/>
          <c:xMode val="edge"/>
          <c:yMode val="edge"/>
          <c:x val="0.0788780169602087"/>
          <c:y val="0.20784069695084"/>
          <c:w val="0.852550554468363"/>
          <c:h val="0.656938394523958"/>
        </c:manualLayout>
      </c:layout>
      <c:barChart>
        <c:barDir val="col"/>
        <c:grouping val="clustered"/>
        <c:varyColors val="0"/>
        <c:ser>
          <c:idx val="1"/>
          <c:order val="0"/>
          <c:tx>
            <c:strRef>
              <c:f>"城市道路长度"</c:f>
              <c:strCache>
                <c:ptCount val="1"/>
                <c:pt idx="0">
                  <c:v>城市道路长度</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'[22年公报图表四五六部分 0915.xlsx]第五部分道路'!$A$5:$A$14</c:f>
              <c:numCache>
                <c:formatCode>0_);[Red]\(0\)</c:formatCode>
                <c:ptCount val="10"/>
                <c:pt idx="0" c:formatCode="0_);[Red]\(0\)">
                  <c:v>2013</c:v>
                </c:pt>
                <c:pt idx="1" c:formatCode="0_);[Red]\(0\)">
                  <c:v>2014</c:v>
                </c:pt>
                <c:pt idx="2" c:formatCode="0_);[Red]\(0\)">
                  <c:v>2015</c:v>
                </c:pt>
                <c:pt idx="3" c:formatCode="0_);[Red]\(0\)">
                  <c:v>2016</c:v>
                </c:pt>
                <c:pt idx="4" c:formatCode="0_);[Red]\(0\)">
                  <c:v>2017</c:v>
                </c:pt>
                <c:pt idx="5" c:formatCode="0_);[Red]\(0\)">
                  <c:v>2018</c:v>
                </c:pt>
                <c:pt idx="6" c:formatCode="0_);[Red]\(0\)">
                  <c:v>2019</c:v>
                </c:pt>
                <c:pt idx="7" c:formatCode="0_);[Red]\(0\)">
                  <c:v>2020</c:v>
                </c:pt>
                <c:pt idx="8" c:formatCode="0_);[Red]\(0\)">
                  <c:v>2021</c:v>
                </c:pt>
                <c:pt idx="9" c:formatCode="0_);[Red]\(0\)">
                  <c:v>2022</c:v>
                </c:pt>
              </c:numCache>
            </c:numRef>
          </c:cat>
          <c:val>
            <c:numRef>
              <c:f>'[22年公报图表四五六部分 0915.xlsx]第五部分道路'!$D$5:$D$14</c:f>
              <c:numCache>
                <c:formatCode>0.00_);[Red]\(0.00\)</c:formatCode>
                <c:ptCount val="10"/>
                <c:pt idx="0">
                  <c:v>33.6304</c:v>
                </c:pt>
                <c:pt idx="1">
                  <c:v>35.233333</c:v>
                </c:pt>
                <c:pt idx="2">
                  <c:v>36.49776</c:v>
                </c:pt>
                <c:pt idx="3">
                  <c:v>38.245362</c:v>
                </c:pt>
                <c:pt idx="4">
                  <c:v>39.783023</c:v>
                </c:pt>
                <c:pt idx="5">
                  <c:v>43.223112</c:v>
                </c:pt>
                <c:pt idx="6">
                  <c:v>45.930444</c:v>
                </c:pt>
                <c:pt idx="7">
                  <c:v>49.265037</c:v>
                </c:pt>
                <c:pt idx="8">
                  <c:v>53.247643</c:v>
                </c:pt>
                <c:pt idx="9">
                  <c:v>55.216272</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'[22年公报图表四五六部分 0915.xlsx]第六部分-建成区绿地面积'!$A$4:$A$13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'[22年公报图表四五六部分 0915.xlsx]第五部分道路'!$F$5:$F$14</c:f>
              <c:numCache>
                <c:formatCode>0.00%</c:formatCode>
                <c:ptCount val="10"/>
                <c:pt idx="0">
                  <c:v>0.0281979081634214</c:v>
                </c:pt>
                <c:pt idx="1">
                  <c:v>0.0476632154241401</c:v>
                </c:pt>
                <c:pt idx="2">
                  <c:v>0.0358872378040418</c:v>
                </c:pt>
                <c:pt idx="3">
                  <c:v>0.0478824453884295</c:v>
                </c:pt>
                <c:pt idx="4">
                  <c:v>0.0402051626547553</c:v>
                </c:pt>
                <c:pt idx="5">
                  <c:v>0.086471281983775</c:v>
                </c:pt>
                <c:pt idx="6">
                  <c:v>0.062636211848883</c:v>
                </c:pt>
                <c:pt idx="7">
                  <c:v>0.072600931094853</c:v>
                </c:pt>
                <c:pt idx="8">
                  <c:v>0.0808404142678307</c:v>
                </c:pt>
                <c:pt idx="9">
                  <c:v>0.0369711951381584</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万公里</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56519592723542"/>
          <c:y val="0.09619245752328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年全国城市道路面积及同比变化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6532234105763"/>
          <c:y val="0.00880281690140845"/>
        </c:manualLayout>
      </c:layout>
      <c:overlay val="0"/>
      <c:spPr>
        <a:noFill/>
        <a:ln>
          <a:noFill/>
        </a:ln>
        <a:effectLst/>
      </c:spPr>
    </c:title>
    <c:autoTitleDeleted val="0"/>
    <c:plotArea>
      <c:layout>
        <c:manualLayout>
          <c:layoutTarget val="inner"/>
          <c:xMode val="edge"/>
          <c:yMode val="edge"/>
          <c:x val="0.0846183953033268"/>
          <c:y val="0.215619166148102"/>
          <c:w val="0.830763209393346"/>
          <c:h val="0.646670815183572"/>
        </c:manualLayout>
      </c:layout>
      <c:barChart>
        <c:barDir val="col"/>
        <c:grouping val="clustered"/>
        <c:varyColors val="0"/>
        <c:ser>
          <c:idx val="1"/>
          <c:order val="0"/>
          <c:tx>
            <c:strRef>
              <c:f>"城市道路面积"</c:f>
              <c:strCache>
                <c:ptCount val="1"/>
                <c:pt idx="0">
                  <c:v>城市道路面积</c:v>
                </c:pt>
              </c:strCache>
            </c:strRef>
          </c:tx>
          <c:spPr>
            <a:solidFill>
              <a:srgbClr val="C00000"/>
            </a:solidFill>
            <a:ln>
              <a:noFill/>
            </a:ln>
            <a:effectLst/>
          </c:spPr>
          <c:invertIfNegative val="0"/>
          <c:dLbls>
            <c:dLbl>
              <c:idx val="5"/>
              <c:layout>
                <c:manualLayout>
                  <c:x val="0"/>
                  <c:y val="0.01369863013698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56514934133299"/>
                  <c:y val="0.047945205479452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'[22年公报图表四五六部分 0915.xlsx]第五部分道路'!$A$5:$A$14</c:f>
              <c:numCache>
                <c:formatCode>0_);[Red]\(0\)</c:formatCode>
                <c:ptCount val="10"/>
                <c:pt idx="0" c:formatCode="0_);[Red]\(0\)">
                  <c:v>2013</c:v>
                </c:pt>
                <c:pt idx="1" c:formatCode="0_);[Red]\(0\)">
                  <c:v>2014</c:v>
                </c:pt>
                <c:pt idx="2" c:formatCode="0_);[Red]\(0\)">
                  <c:v>2015</c:v>
                </c:pt>
                <c:pt idx="3" c:formatCode="0_);[Red]\(0\)">
                  <c:v>2016</c:v>
                </c:pt>
                <c:pt idx="4" c:formatCode="0_);[Red]\(0\)">
                  <c:v>2017</c:v>
                </c:pt>
                <c:pt idx="5" c:formatCode="0_);[Red]\(0\)">
                  <c:v>2018</c:v>
                </c:pt>
                <c:pt idx="6" c:formatCode="0_);[Red]\(0\)">
                  <c:v>2019</c:v>
                </c:pt>
                <c:pt idx="7" c:formatCode="0_);[Red]\(0\)">
                  <c:v>2020</c:v>
                </c:pt>
                <c:pt idx="8" c:formatCode="0_);[Red]\(0\)">
                  <c:v>2021</c:v>
                </c:pt>
                <c:pt idx="9" c:formatCode="0_);[Red]\(0\)">
                  <c:v>2022</c:v>
                </c:pt>
              </c:numCache>
            </c:numRef>
          </c:cat>
          <c:val>
            <c:numRef>
              <c:f>'[22年公报图表四五六部分 0915.xlsx]第五部分道路'!$E$5:$E$14</c:f>
              <c:numCache>
                <c:formatCode>#,##0.00_ </c:formatCode>
                <c:ptCount val="10"/>
                <c:pt idx="0">
                  <c:v>64.4155</c:v>
                </c:pt>
                <c:pt idx="1">
                  <c:v>68.30279</c:v>
                </c:pt>
                <c:pt idx="2">
                  <c:v>71.767511</c:v>
                </c:pt>
                <c:pt idx="3">
                  <c:v>75.381886</c:v>
                </c:pt>
                <c:pt idx="4">
                  <c:v>78.885258</c:v>
                </c:pt>
                <c:pt idx="5">
                  <c:v>85.426818</c:v>
                </c:pt>
                <c:pt idx="6">
                  <c:v>90.979113</c:v>
                </c:pt>
                <c:pt idx="7">
                  <c:v>96.980254</c:v>
                </c:pt>
                <c:pt idx="8">
                  <c:v>105.365518</c:v>
                </c:pt>
                <c:pt idx="9">
                  <c:v>108.93301</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'[22年公报图表四五六部分 0915.xlsx]第六部分-建成区绿地面积'!$A$4:$A$13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'[22年公报图表四五六部分 0915.xlsx]第五部分道路'!$G$5:$G$14</c:f>
              <c:numCache>
                <c:formatCode>0.00%</c:formatCode>
                <c:ptCount val="10"/>
                <c:pt idx="0">
                  <c:v>0.0604264720165808</c:v>
                </c:pt>
                <c:pt idx="1">
                  <c:v>0.060347121422639</c:v>
                </c:pt>
                <c:pt idx="2">
                  <c:v>0.0507259073897273</c:v>
                </c:pt>
                <c:pt idx="3">
                  <c:v>0.0503622732576026</c:v>
                </c:pt>
                <c:pt idx="4">
                  <c:v>0.0464749847198038</c:v>
                </c:pt>
                <c:pt idx="5">
                  <c:v>0.0829249997509041</c:v>
                </c:pt>
                <c:pt idx="6">
                  <c:v>0.0649947537551965</c:v>
                </c:pt>
                <c:pt idx="7">
                  <c:v>0.0659617444280864</c:v>
                </c:pt>
                <c:pt idx="8">
                  <c:v>0.0864636217595387</c:v>
                </c:pt>
                <c:pt idx="9">
                  <c:v>0.0338582495271367</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亿平方米</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55084498137762"/>
          <c:y val="0.11703875497194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年全国城市人均道路面积及同比变化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09985259777615"/>
          <c:y val="0.00880281690140845"/>
        </c:manualLayout>
      </c:layout>
      <c:overlay val="0"/>
      <c:spPr>
        <a:noFill/>
        <a:ln>
          <a:noFill/>
        </a:ln>
        <a:effectLst/>
      </c:spPr>
    </c:title>
    <c:autoTitleDeleted val="0"/>
    <c:plotArea>
      <c:layout>
        <c:manualLayout>
          <c:layoutTarget val="inner"/>
          <c:xMode val="edge"/>
          <c:yMode val="edge"/>
          <c:x val="0.0803131115459883"/>
          <c:y val="0.228441262609828"/>
          <c:w val="0.842374429223744"/>
          <c:h val="0.637617962902701"/>
        </c:manualLayout>
      </c:layout>
      <c:barChart>
        <c:barDir val="col"/>
        <c:grouping val="clustered"/>
        <c:varyColors val="0"/>
        <c:ser>
          <c:idx val="1"/>
          <c:order val="0"/>
          <c:tx>
            <c:strRef>
              <c:f>"人均道路面积"</c:f>
              <c:strCache>
                <c:ptCount val="1"/>
                <c:pt idx="0">
                  <c:v>人均道路面积</c:v>
                </c:pt>
              </c:strCache>
            </c:strRef>
          </c:tx>
          <c:spPr>
            <a:solidFill>
              <a:srgbClr val="C00000"/>
            </a:solidFill>
            <a:ln>
              <a:noFill/>
            </a:ln>
            <a:effectLst/>
          </c:spPr>
          <c:invertIfNegative val="0"/>
          <c:dLbls>
            <c:dLbl>
              <c:idx val="5"/>
              <c:layout>
                <c:manualLayout>
                  <c:x val="0"/>
                  <c:y val="0.01369863013698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56514934133299"/>
                  <c:y val="0.047945205479452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'[22年公报图表四五六部分 0915.xlsx]第五部分道路'!$A$5:$A$14</c:f>
              <c:numCache>
                <c:formatCode>0_);[Red]\(0\)</c:formatCode>
                <c:ptCount val="10"/>
                <c:pt idx="0" c:formatCode="0_);[Red]\(0\)">
                  <c:v>2013</c:v>
                </c:pt>
                <c:pt idx="1" c:formatCode="0_);[Red]\(0\)">
                  <c:v>2014</c:v>
                </c:pt>
                <c:pt idx="2" c:formatCode="0_);[Red]\(0\)">
                  <c:v>2015</c:v>
                </c:pt>
                <c:pt idx="3" c:formatCode="0_);[Red]\(0\)">
                  <c:v>2016</c:v>
                </c:pt>
                <c:pt idx="4" c:formatCode="0_);[Red]\(0\)">
                  <c:v>2017</c:v>
                </c:pt>
                <c:pt idx="5" c:formatCode="0_);[Red]\(0\)">
                  <c:v>2018</c:v>
                </c:pt>
                <c:pt idx="6" c:formatCode="0_);[Red]\(0\)">
                  <c:v>2019</c:v>
                </c:pt>
                <c:pt idx="7" c:formatCode="0_);[Red]\(0\)">
                  <c:v>2020</c:v>
                </c:pt>
                <c:pt idx="8" c:formatCode="0_);[Red]\(0\)">
                  <c:v>2021</c:v>
                </c:pt>
                <c:pt idx="9" c:formatCode="0_);[Red]\(0\)">
                  <c:v>2022</c:v>
                </c:pt>
              </c:numCache>
            </c:numRef>
          </c:cat>
          <c:val>
            <c:numRef>
              <c:f>'[22年公报图表四五六部分 0915.xlsx]第五部分道路'!$I$5:$I$14</c:f>
              <c:numCache>
                <c:formatCode>0.00_);[Red]\(0.00\)</c:formatCode>
                <c:ptCount val="10"/>
                <c:pt idx="0">
                  <c:v>14.87</c:v>
                </c:pt>
                <c:pt idx="1">
                  <c:v>15.34</c:v>
                </c:pt>
                <c:pt idx="2">
                  <c:v>15.6</c:v>
                </c:pt>
                <c:pt idx="3">
                  <c:v>15.8</c:v>
                </c:pt>
                <c:pt idx="4">
                  <c:v>16.05</c:v>
                </c:pt>
                <c:pt idx="5">
                  <c:v>16.7006736039375</c:v>
                </c:pt>
                <c:pt idx="6">
                  <c:v>17.355097146651</c:v>
                </c:pt>
                <c:pt idx="7">
                  <c:v>18.0384885802419</c:v>
                </c:pt>
                <c:pt idx="8">
                  <c:v>18.84</c:v>
                </c:pt>
                <c:pt idx="9" c:formatCode="#,##0.00">
                  <c:v>19.2842165005522</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'[22年公报图表四五六部分 0915.xlsx]第六部分-建成区绿地面积'!$A$4:$A$13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'[22年公报图表四五六部分 0915.xlsx]第五部分道路'!$J$5:$J$14</c:f>
              <c:numCache>
                <c:formatCode>0.0%</c:formatCode>
                <c:ptCount val="10"/>
                <c:pt idx="0">
                  <c:v>0.0333564975677554</c:v>
                </c:pt>
                <c:pt idx="1">
                  <c:v>0.031607262945528</c:v>
                </c:pt>
                <c:pt idx="2">
                  <c:v>0.0169491525423728</c:v>
                </c:pt>
                <c:pt idx="3">
                  <c:v>0.012820512820513</c:v>
                </c:pt>
                <c:pt idx="4">
                  <c:v>0.0158227848101267</c:v>
                </c:pt>
                <c:pt idx="5">
                  <c:v>0.0405404114602803</c:v>
                </c:pt>
                <c:pt idx="6">
                  <c:v>0.0391854579182485</c:v>
                </c:pt>
                <c:pt idx="7">
                  <c:v>0.0393769869345122</c:v>
                </c:pt>
                <c:pt idx="8">
                  <c:v>0.0444334022882638</c:v>
                </c:pt>
                <c:pt idx="9" c:formatCode="0.00%">
                  <c:v>0.0235783705176327</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平方米</a:t>
                </a:r>
              </a:p>
            </c:rich>
          </c:tx>
          <c:layout>
            <c:manualLayout>
              <c:xMode val="edge"/>
              <c:yMode val="edge"/>
              <c:x val="0.00391389432485323"/>
              <c:y val="0.428025968555114"/>
            </c:manualLayout>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52214308966203"/>
          <c:y val="0.11561114136073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年全国分省（区、市）和新疆兵团城市人均道路面积</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8331191004354"/>
          <c:y val="0.00832408435072142"/>
        </c:manualLayout>
      </c:layout>
      <c:overlay val="0"/>
      <c:spPr>
        <a:noFill/>
        <a:ln>
          <a:noFill/>
        </a:ln>
        <a:effectLst/>
      </c:spPr>
    </c:title>
    <c:autoTitleDeleted val="0"/>
    <c:plotArea>
      <c:layout>
        <c:manualLayout>
          <c:layoutTarget val="inner"/>
          <c:xMode val="edge"/>
          <c:yMode val="edge"/>
          <c:x val="0.0877497431213609"/>
          <c:y val="0.290826469752911"/>
          <c:w val="0.886790729535335"/>
          <c:h val="0.437773359840954"/>
        </c:manualLayout>
      </c:layout>
      <c:barChart>
        <c:barDir val="col"/>
        <c:grouping val="clustered"/>
        <c:varyColors val="0"/>
        <c:ser>
          <c:idx val="0"/>
          <c:order val="0"/>
          <c:tx>
            <c:strRef>
              <c:f>"城市人均道路面积"</c:f>
              <c:strCache>
                <c:ptCount val="1"/>
                <c:pt idx="0">
                  <c:v>城市人均道路面积</c:v>
                </c:pt>
              </c:strCache>
            </c:strRef>
          </c:tx>
          <c:spPr>
            <a:solidFill>
              <a:srgbClr val="C00000"/>
            </a:solidFill>
            <a:ln>
              <a:noFill/>
            </a:ln>
            <a:effectLst/>
          </c:spPr>
          <c:invertIfNegative val="0"/>
          <c:dLbls>
            <c:dLbl>
              <c:idx val="1"/>
              <c:layout>
                <c:manualLayout>
                  <c:x val="-0.000913346272405526"/>
                  <c:y val="0.009656347628514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85420710126727"/>
                  <c:y val="0.01050837830161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06190931294466"/>
                  <c:y val="0.012496449872195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0685009704304144"/>
                  <c:y val="0.014200511218403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719260189519352"/>
                  <c:y val="0.014200511218403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
                  <c:y val="0.015336552115876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0.00787761159949766"/>
                  <c:y val="-0.0022720817949446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00216919739696312"/>
                  <c:y val="0.01675660323771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
                  <c:y val="-0.0082362965066742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9"/>
              <c:layout>
                <c:manualLayout>
                  <c:x val="-0.00285420710126727"/>
                  <c:y val="0.01959670548139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1"/>
              <c:layout>
                <c:manualLayout>
                  <c:x val="-0.00137001940860829"/>
                  <c:y val="0.014200511218403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_);[Red]\(#,##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[22年公报图表四五六部分.xlsx]第五部分道路!$B$46:$B$77</c:f>
              <c:numCache>
                <c:formatCode>#,##0.00</c:formatCode>
                <c:ptCount val="32"/>
                <c:pt idx="0">
                  <c:v>8.03785027185278</c:v>
                </c:pt>
                <c:pt idx="1">
                  <c:v>16.1081141655245</c:v>
                </c:pt>
                <c:pt idx="2">
                  <c:v>21.1970585153884</c:v>
                </c:pt>
                <c:pt idx="3">
                  <c:v>18.7135078550392</c:v>
                </c:pt>
                <c:pt idx="4">
                  <c:v>24.5679447721638</c:v>
                </c:pt>
                <c:pt idx="5">
                  <c:v>19.3748420315595</c:v>
                </c:pt>
                <c:pt idx="6">
                  <c:v>17.1544059418321</c:v>
                </c:pt>
                <c:pt idx="7">
                  <c:v>16.6319841938577</c:v>
                </c:pt>
                <c:pt idx="8">
                  <c:v>4.99820266651588</c:v>
                </c:pt>
                <c:pt idx="9">
                  <c:v>25.6555206596407</c:v>
                </c:pt>
                <c:pt idx="10">
                  <c:v>19.6009778042732</c:v>
                </c:pt>
                <c:pt idx="11">
                  <c:v>24.5663978398392</c:v>
                </c:pt>
                <c:pt idx="12">
                  <c:v>21.9567050848355</c:v>
                </c:pt>
                <c:pt idx="13">
                  <c:v>25.9190838816735</c:v>
                </c:pt>
                <c:pt idx="14">
                  <c:v>26.4528653670812</c:v>
                </c:pt>
                <c:pt idx="15">
                  <c:v>16.86137045507</c:v>
                </c:pt>
                <c:pt idx="16">
                  <c:v>19.6699685289115</c:v>
                </c:pt>
                <c:pt idx="17">
                  <c:v>20.3526684408136</c:v>
                </c:pt>
                <c:pt idx="18">
                  <c:v>15.0187632687549</c:v>
                </c:pt>
                <c:pt idx="19">
                  <c:v>24.4045364935873</c:v>
                </c:pt>
                <c:pt idx="20">
                  <c:v>25.2732647120607</c:v>
                </c:pt>
                <c:pt idx="21">
                  <c:v>16.6444513137558</c:v>
                </c:pt>
                <c:pt idx="22">
                  <c:v>18.2836126303143</c:v>
                </c:pt>
                <c:pt idx="23">
                  <c:v>26.6883132556558</c:v>
                </c:pt>
                <c:pt idx="24">
                  <c:v>17.3971090328806</c:v>
                </c:pt>
                <c:pt idx="25">
                  <c:v>22.0320058381985</c:v>
                </c:pt>
                <c:pt idx="26">
                  <c:v>18.1091397400573</c:v>
                </c:pt>
                <c:pt idx="27">
                  <c:v>22.2062360997308</c:v>
                </c:pt>
                <c:pt idx="28">
                  <c:v>19.577223599869</c:v>
                </c:pt>
                <c:pt idx="29">
                  <c:v>27.9970620018911</c:v>
                </c:pt>
                <c:pt idx="30">
                  <c:v>22.5073394602548</c:v>
                </c:pt>
                <c:pt idx="31">
                  <c:v>34.3675020356464</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"全国城市人均道路面积19.3平方米"</c:f>
              <c:strCache>
                <c:ptCount val="1"/>
                <c:pt idx="0">
                  <c:v>全国城市人均道路面积19.3平方米</c:v>
                </c:pt>
              </c:strCache>
            </c:strRef>
          </c:tx>
          <c:spPr>
            <a:ln w="15875" cap="rnd">
              <a:solidFill>
                <a:srgbClr val="002060"/>
              </a:solidFill>
              <a:prstDash val="dash"/>
              <a:round/>
            </a:ln>
            <a:effectLst/>
            <a:sp3d contourW="15875"/>
          </c:spPr>
          <c:marker>
            <c:symbol val="none"/>
          </c:marker>
          <c:dLbls>
            <c:delete val="1"/>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[22年公报图表四五六部分.xlsx]第五部分道路!$C$46:$C$77</c:f>
              <c:numCache>
                <c:formatCode>#,##0.00</c:formatCode>
                <c:ptCount val="32"/>
                <c:pt idx="0">
                  <c:v>19.2842165005522</c:v>
                </c:pt>
                <c:pt idx="1">
                  <c:v>19.2842165005522</c:v>
                </c:pt>
                <c:pt idx="2">
                  <c:v>19.2842165005522</c:v>
                </c:pt>
                <c:pt idx="3">
                  <c:v>19.2842165005522</c:v>
                </c:pt>
                <c:pt idx="4">
                  <c:v>19.2842165005522</c:v>
                </c:pt>
                <c:pt idx="5">
                  <c:v>19.2842165005522</c:v>
                </c:pt>
                <c:pt idx="6">
                  <c:v>19.2842165005522</c:v>
                </c:pt>
                <c:pt idx="7">
                  <c:v>19.2842165005522</c:v>
                </c:pt>
                <c:pt idx="8">
                  <c:v>19.2842165005522</c:v>
                </c:pt>
                <c:pt idx="9">
                  <c:v>19.2842165005522</c:v>
                </c:pt>
                <c:pt idx="10">
                  <c:v>19.2842165005522</c:v>
                </c:pt>
                <c:pt idx="11">
                  <c:v>19.2842165005522</c:v>
                </c:pt>
                <c:pt idx="12">
                  <c:v>19.2842165005522</c:v>
                </c:pt>
                <c:pt idx="13">
                  <c:v>19.2842165005522</c:v>
                </c:pt>
                <c:pt idx="14">
                  <c:v>19.2842165005522</c:v>
                </c:pt>
                <c:pt idx="15">
                  <c:v>19.2842165005522</c:v>
                </c:pt>
                <c:pt idx="16">
                  <c:v>19.2842165005522</c:v>
                </c:pt>
                <c:pt idx="17">
                  <c:v>19.2842165005522</c:v>
                </c:pt>
                <c:pt idx="18">
                  <c:v>19.2842165005522</c:v>
                </c:pt>
                <c:pt idx="19">
                  <c:v>19.2842165005522</c:v>
                </c:pt>
                <c:pt idx="20">
                  <c:v>19.2842165005522</c:v>
                </c:pt>
                <c:pt idx="21">
                  <c:v>19.2842165005522</c:v>
                </c:pt>
                <c:pt idx="22">
                  <c:v>19.2842165005522</c:v>
                </c:pt>
                <c:pt idx="23">
                  <c:v>19.2842165005522</c:v>
                </c:pt>
                <c:pt idx="24">
                  <c:v>19.2842165005522</c:v>
                </c:pt>
                <c:pt idx="25">
                  <c:v>19.2842165005522</c:v>
                </c:pt>
                <c:pt idx="26">
                  <c:v>19.2842165005522</c:v>
                </c:pt>
                <c:pt idx="27">
                  <c:v>19.2842165005522</c:v>
                </c:pt>
                <c:pt idx="28">
                  <c:v>19.2842165005522</c:v>
                </c:pt>
                <c:pt idx="29">
                  <c:v>19.2842165005522</c:v>
                </c:pt>
                <c:pt idx="30">
                  <c:v>19.2842165005522</c:v>
                </c:pt>
                <c:pt idx="31">
                  <c:v>19.2842165005522</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35"/>
          <c:min val="5"/>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平方米</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5"/>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024774517639"/>
          <c:y val="0.13746094859414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年全国城市污水处理厂处理能力及同比变化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26613409288794"/>
          <c:y val="0.00980071871937275"/>
        </c:manualLayout>
      </c:layout>
      <c:overlay val="0"/>
      <c:spPr>
        <a:noFill/>
        <a:ln>
          <a:noFill/>
        </a:ln>
        <a:effectLst/>
      </c:spPr>
    </c:title>
    <c:autoTitleDeleted val="0"/>
    <c:plotArea>
      <c:layout>
        <c:manualLayout>
          <c:layoutTarget val="inner"/>
          <c:xMode val="edge"/>
          <c:yMode val="edge"/>
          <c:x val="0.0974693251533742"/>
          <c:y val="0.202548186867037"/>
          <c:w val="0.825127811860941"/>
          <c:h val="0.662985952303169"/>
        </c:manualLayout>
      </c:layout>
      <c:barChart>
        <c:barDir val="col"/>
        <c:grouping val="clustered"/>
        <c:varyColors val="0"/>
        <c:ser>
          <c:idx val="1"/>
          <c:order val="0"/>
          <c:tx>
            <c:strRef>
              <c:f>"城市污水处理厂处理能力"</c:f>
              <c:strCache>
                <c:ptCount val="1"/>
                <c:pt idx="0">
                  <c:v>城市污水处理厂处理能力</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'[22年公报图表四五六部分 0915.xlsx]第四部分-污水处理'!$A$8:$A$17</c:f>
              <c:numCache>
                <c:formatCode>0_);[Red]\(0\)</c:formatCode>
                <c:ptCount val="10"/>
                <c:pt idx="0" c:formatCode="0_);[Red]\(0\)">
                  <c:v>2013</c:v>
                </c:pt>
                <c:pt idx="1" c:formatCode="0_);[Red]\(0\)">
                  <c:v>2014</c:v>
                </c:pt>
                <c:pt idx="2" c:formatCode="0_);[Red]\(0\)">
                  <c:v>2015</c:v>
                </c:pt>
                <c:pt idx="3" c:formatCode="0_);[Red]\(0\)">
                  <c:v>2016</c:v>
                </c:pt>
                <c:pt idx="4" c:formatCode="0_);[Red]\(0\)">
                  <c:v>2017</c:v>
                </c:pt>
                <c:pt idx="5" c:formatCode="0_);[Red]\(0\)">
                  <c:v>2018</c:v>
                </c:pt>
                <c:pt idx="6" c:formatCode="0_);[Red]\(0\)">
                  <c:v>2019</c:v>
                </c:pt>
                <c:pt idx="7" c:formatCode="0_);[Red]\(0\)">
                  <c:v>2020</c:v>
                </c:pt>
                <c:pt idx="8" c:formatCode="0_);[Red]\(0\)">
                  <c:v>2021</c:v>
                </c:pt>
                <c:pt idx="9" c:formatCode="0_);[Red]\(0\)">
                  <c:v>2022</c:v>
                </c:pt>
              </c:numCache>
            </c:numRef>
          </c:cat>
          <c:val>
            <c:numRef>
              <c:f>'[22年公报图表四五六部分 0915.xlsx]第四部分-污水处理'!$E$8:$E$17</c:f>
              <c:numCache>
                <c:formatCode>0.00_);[Red]\(0.00\)</c:formatCode>
                <c:ptCount val="10"/>
                <c:pt idx="0">
                  <c:v>1.2454</c:v>
                </c:pt>
                <c:pt idx="1">
                  <c:v>1.30868</c:v>
                </c:pt>
                <c:pt idx="2">
                  <c:v>1.40384</c:v>
                </c:pt>
                <c:pt idx="3">
                  <c:v>1.491</c:v>
                </c:pt>
                <c:pt idx="4">
                  <c:v>1.5743</c:v>
                </c:pt>
                <c:pt idx="5">
                  <c:v>1.688054</c:v>
                </c:pt>
                <c:pt idx="6">
                  <c:v>1.786317</c:v>
                </c:pt>
                <c:pt idx="7">
                  <c:v>1.92671</c:v>
                </c:pt>
                <c:pt idx="8">
                  <c:v>2.076722</c:v>
                </c:pt>
                <c:pt idx="9">
                  <c:v>2.16061</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'[22年公报图表四五六部分 0915.xlsx]第六部分-建成区绿地面积'!$A$4:$A$13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'[22年公报图表四五六部分 0915.xlsx]第四部分-污水处理'!$F$8:$F$17</c:f>
              <c:numCache>
                <c:formatCode>0.00%</c:formatCode>
                <c:ptCount val="10"/>
                <c:pt idx="0">
                  <c:v>0.0614506093923122</c:v>
                </c:pt>
                <c:pt idx="1">
                  <c:v>0.0508109844226754</c:v>
                </c:pt>
                <c:pt idx="2">
                  <c:v>0.0727144909374331</c:v>
                </c:pt>
                <c:pt idx="3">
                  <c:v>0.0620868475039891</c:v>
                </c:pt>
                <c:pt idx="4">
                  <c:v>0.055868544600939</c:v>
                </c:pt>
                <c:pt idx="5">
                  <c:v>0.0722568760719051</c:v>
                </c:pt>
                <c:pt idx="6">
                  <c:v>0.0582108155307826</c:v>
                </c:pt>
                <c:pt idx="7">
                  <c:v>0.0785935531039563</c:v>
                </c:pt>
                <c:pt idx="8">
                  <c:v>0.0778591484966602</c:v>
                </c:pt>
                <c:pt idx="9">
                  <c:v>0.0403944292977103</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in val="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亿立方米</a:t>
                </a:r>
                <a:r>
                  <a:rPr lang="en-US" altLang="zh-CN"/>
                  <a:t>/</a:t>
                </a:r>
                <a:r>
                  <a:rPr altLang="en-US"/>
                  <a:t>日</a:t>
                </a:r>
                <a:endParaRPr lang="en-US" altLang="zh-CN"/>
              </a:p>
            </c:rich>
          </c:tx>
          <c:layout/>
          <c:overlay val="0"/>
          <c:spPr>
            <a:noFill/>
            <a:ln>
              <a:noFill/>
            </a:ln>
            <a:effectLst/>
          </c:spPr>
        </c:title>
        <c:numFmt formatCode="0.0_);[Red]\(0.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58305821090851"/>
          <c:y val="0.11907716622685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年全国城市污水处理率</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65662081984897"/>
          <c:y val="0.0102006120367222"/>
        </c:manualLayout>
      </c:layout>
      <c:overlay val="0"/>
      <c:spPr>
        <a:noFill/>
        <a:ln>
          <a:noFill/>
        </a:ln>
        <a:effectLst/>
      </c:spPr>
    </c:title>
    <c:autoTitleDeleted val="0"/>
    <c:plotArea>
      <c:layout>
        <c:manualLayout>
          <c:layoutTarget val="inner"/>
          <c:xMode val="edge"/>
          <c:yMode val="edge"/>
          <c:x val="0.076576688642866"/>
          <c:y val="0.229340846853077"/>
          <c:w val="0.914886731391586"/>
          <c:h val="0.621013260795648"/>
        </c:manualLayout>
      </c:layout>
      <c:barChart>
        <c:barDir val="col"/>
        <c:grouping val="clustered"/>
        <c:varyColors val="0"/>
        <c:ser>
          <c:idx val="1"/>
          <c:order val="0"/>
          <c:tx>
            <c:strRef>
              <c:f>"城市污水处理率"</c:f>
              <c:strCache>
                <c:ptCount val="1"/>
                <c:pt idx="0">
                  <c:v>城市污水处理率</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'[22年公报图表四五六部分 0915.xlsx]第四部分-污水处理'!$A$8:$A$17</c:f>
              <c:numCache>
                <c:formatCode>0_);[Red]\(0\)</c:formatCode>
                <c:ptCount val="10"/>
                <c:pt idx="0" c:formatCode="0_);[Red]\(0\)">
                  <c:v>2013</c:v>
                </c:pt>
                <c:pt idx="1" c:formatCode="0_);[Red]\(0\)">
                  <c:v>2014</c:v>
                </c:pt>
                <c:pt idx="2" c:formatCode="0_);[Red]\(0\)">
                  <c:v>2015</c:v>
                </c:pt>
                <c:pt idx="3" c:formatCode="0_);[Red]\(0\)">
                  <c:v>2016</c:v>
                </c:pt>
                <c:pt idx="4" c:formatCode="0_);[Red]\(0\)">
                  <c:v>2017</c:v>
                </c:pt>
                <c:pt idx="5" c:formatCode="0_);[Red]\(0\)">
                  <c:v>2018</c:v>
                </c:pt>
                <c:pt idx="6" c:formatCode="0_);[Red]\(0\)">
                  <c:v>2019</c:v>
                </c:pt>
                <c:pt idx="7" c:formatCode="0_);[Red]\(0\)">
                  <c:v>2020</c:v>
                </c:pt>
                <c:pt idx="8" c:formatCode="0_);[Red]\(0\)">
                  <c:v>2021</c:v>
                </c:pt>
                <c:pt idx="9" c:formatCode="0_);[Red]\(0\)">
                  <c:v>2022</c:v>
                </c:pt>
              </c:numCache>
            </c:numRef>
          </c:cat>
          <c:val>
            <c:numRef>
              <c:f>'[22年公报图表四五六部分 0915.xlsx]第四部分-污水处理'!$G$8:$G$17</c:f>
              <c:numCache>
                <c:formatCode>0.00%</c:formatCode>
                <c:ptCount val="10"/>
                <c:pt idx="0">
                  <c:v>0.8934</c:v>
                </c:pt>
                <c:pt idx="1">
                  <c:v>0.9018</c:v>
                </c:pt>
                <c:pt idx="2">
                  <c:v>0.919</c:v>
                </c:pt>
                <c:pt idx="3">
                  <c:v>0.9344</c:v>
                </c:pt>
                <c:pt idx="4">
                  <c:v>0.9454</c:v>
                </c:pt>
                <c:pt idx="5">
                  <c:v>0.954881677658859</c:v>
                </c:pt>
                <c:pt idx="6">
                  <c:v>0.968053347045348</c:v>
                </c:pt>
                <c:pt idx="7">
                  <c:v>0.9753482029084</c:v>
                </c:pt>
                <c:pt idx="8">
                  <c:v>0.9789</c:v>
                </c:pt>
                <c:pt idx="9">
                  <c:v>0.9811</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ax val="1"/>
          <c:min val="0.8"/>
        </c:scaling>
        <c:delete val="0"/>
        <c:axPos val="l"/>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0.1"/>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年全国分省（区、市）和新疆兵团城市污水处理厂处理能力</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34571780230569"/>
          <c:y val="0.0432382536844427"/>
        </c:manualLayout>
      </c:layout>
      <c:overlay val="0"/>
      <c:spPr>
        <a:noFill/>
        <a:ln>
          <a:noFill/>
        </a:ln>
        <a:effectLst/>
      </c:spPr>
    </c:title>
    <c:autoTitleDeleted val="0"/>
    <c:plotArea>
      <c:layout>
        <c:manualLayout>
          <c:layoutTarget val="inner"/>
          <c:xMode val="edge"/>
          <c:yMode val="edge"/>
          <c:x val="0.106876090750436"/>
          <c:y val="0.2500822639026"/>
          <c:w val="0.867643979057592"/>
          <c:h val="0.448634419216848"/>
        </c:manualLayout>
      </c:layout>
      <c:barChart>
        <c:barDir val="col"/>
        <c:grouping val="clustered"/>
        <c:varyColors val="0"/>
        <c:ser>
          <c:idx val="0"/>
          <c:order val="0"/>
          <c:tx>
            <c:strRef>
              <c:f>"城市污水处理厂处理能力"</c:f>
              <c:strCache>
                <c:ptCount val="1"/>
                <c:pt idx="0">
                  <c:v>城市污水处理厂处理能力</c:v>
                </c:pt>
              </c:strCache>
            </c:strRef>
          </c:tx>
          <c:spPr>
            <a:solidFill>
              <a:srgbClr val="C00000"/>
            </a:solidFill>
            <a:ln>
              <a:noFill/>
            </a:ln>
            <a:effectLst/>
          </c:spPr>
          <c:invertIfNegative val="0"/>
          <c:dLbls>
            <c:dLbl>
              <c:idx val="0"/>
              <c:layout>
                <c:manualLayout>
                  <c:x val="0.00325770796974985"/>
                  <c:y val="0.003948667324777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930773705642816"/>
                  <c:y val="0.003619611714379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
                  <c:y val="-0.0003290556103981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
                  <c:y val="0.011846001974333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0116346713205352"/>
                  <c:y val="0.019743336623889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8"/>
              <c:layout>
                <c:manualLayout>
                  <c:x val="0"/>
                  <c:y val="0.010858835143139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3"/>
              <c:layout>
                <c:manualLayout>
                  <c:x val="-0.00081442699243746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4"/>
              <c:layout>
                <c:manualLayout>
                  <c:x val="0"/>
                  <c:y val="0.0072392234287594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1"/>
              <c:layout>
                <c:manualLayout>
                  <c:x val="0"/>
                  <c:y val="0.0031356898517673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_);[Red]\(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'[22年公报图表四五六部分.xlsx]第四部分-污水处理'!$B$28:$B$59</c:f>
              <c:numCache>
                <c:formatCode>0.0_ </c:formatCode>
                <c:ptCount val="32"/>
                <c:pt idx="0">
                  <c:v>712.1</c:v>
                </c:pt>
                <c:pt idx="1">
                  <c:v>344.5</c:v>
                </c:pt>
                <c:pt idx="2">
                  <c:v>715.2</c:v>
                </c:pt>
                <c:pt idx="3">
                  <c:v>367</c:v>
                </c:pt>
                <c:pt idx="4">
                  <c:v>246.15</c:v>
                </c:pt>
                <c:pt idx="5">
                  <c:v>1108.33</c:v>
                </c:pt>
                <c:pt idx="6">
                  <c:v>459.15</c:v>
                </c:pt>
                <c:pt idx="7">
                  <c:v>433.25</c:v>
                </c:pt>
                <c:pt idx="8">
                  <c:v>896.75</c:v>
                </c:pt>
                <c:pt idx="9">
                  <c:v>1684.61</c:v>
                </c:pt>
                <c:pt idx="10">
                  <c:v>1341.38</c:v>
                </c:pt>
                <c:pt idx="11">
                  <c:v>813.55</c:v>
                </c:pt>
                <c:pt idx="12">
                  <c:v>552.2</c:v>
                </c:pt>
                <c:pt idx="13">
                  <c:v>456.8</c:v>
                </c:pt>
                <c:pt idx="14">
                  <c:v>1493.13</c:v>
                </c:pt>
                <c:pt idx="15">
                  <c:v>1043.25</c:v>
                </c:pt>
                <c:pt idx="16">
                  <c:v>962.2</c:v>
                </c:pt>
                <c:pt idx="17">
                  <c:v>860.09</c:v>
                </c:pt>
                <c:pt idx="18">
                  <c:v>2936.01</c:v>
                </c:pt>
                <c:pt idx="19">
                  <c:v>515.1</c:v>
                </c:pt>
                <c:pt idx="20">
                  <c:v>137.67</c:v>
                </c:pt>
                <c:pt idx="21">
                  <c:v>460.97</c:v>
                </c:pt>
                <c:pt idx="22">
                  <c:v>954.95</c:v>
                </c:pt>
                <c:pt idx="23">
                  <c:v>408.12</c:v>
                </c:pt>
                <c:pt idx="24">
                  <c:v>371.1</c:v>
                </c:pt>
                <c:pt idx="25">
                  <c:v>33.2</c:v>
                </c:pt>
                <c:pt idx="26">
                  <c:v>573.1</c:v>
                </c:pt>
                <c:pt idx="27">
                  <c:v>213</c:v>
                </c:pt>
                <c:pt idx="28">
                  <c:v>62.9</c:v>
                </c:pt>
                <c:pt idx="29">
                  <c:v>139.75</c:v>
                </c:pt>
                <c:pt idx="30">
                  <c:v>258.8</c:v>
                </c:pt>
                <c:pt idx="31">
                  <c:v>51.79</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3000"/>
          <c:min val="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万立方米</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日</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00349040139616056"/>
              <c:y val="0.282596108029426"/>
            </c:manualLayout>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600"/>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年全国分省（区、市）和新疆兵团城市生活污水集中收集率</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0969807180062224"/>
          <c:y val="0.00968992248062015"/>
        </c:manualLayout>
      </c:layout>
      <c:overlay val="0"/>
      <c:spPr>
        <a:noFill/>
        <a:ln>
          <a:noFill/>
        </a:ln>
        <a:effectLst/>
      </c:spPr>
    </c:title>
    <c:autoTitleDeleted val="0"/>
    <c:plotArea>
      <c:layout>
        <c:manualLayout>
          <c:layoutTarget val="inner"/>
          <c:xMode val="edge"/>
          <c:yMode val="edge"/>
          <c:x val="0.0663719676549865"/>
          <c:y val="0.331684608670352"/>
          <c:w val="0.919504043126685"/>
          <c:h val="0.396974105324411"/>
        </c:manualLayout>
      </c:layout>
      <c:barChart>
        <c:barDir val="col"/>
        <c:grouping val="clustered"/>
        <c:varyColors val="0"/>
        <c:ser>
          <c:idx val="0"/>
          <c:order val="0"/>
          <c:tx>
            <c:strRef>
              <c:f>"城市生活污水集中收集率"</c:f>
              <c:strCache>
                <c:ptCount val="1"/>
                <c:pt idx="0">
                  <c:v>城市生活污水集中收集率</c:v>
                </c:pt>
              </c:strCache>
            </c:strRef>
          </c:tx>
          <c:spPr>
            <a:solidFill>
              <a:srgbClr val="C00000"/>
            </a:solidFill>
            <a:ln>
              <a:noFill/>
            </a:ln>
            <a:effectLst/>
          </c:spPr>
          <c:invertIfNegative val="0"/>
          <c:dLbls>
            <c:dLbl>
              <c:idx val="10"/>
              <c:layout>
                <c:manualLayout>
                  <c:x val="0.00485062286407232"/>
                  <c:y val="0.0075342465753424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49608642928012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0.00242531143203616"/>
                  <c:y val="0.0037671232876712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6"/>
              <c:layout>
                <c:manualLayout>
                  <c:x val="-0.00617352000881931"/>
                  <c:y val="0.0075342465753424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9"/>
              <c:layout>
                <c:manualLayout>
                  <c:x val="-0.00485062286407232"/>
                  <c:y val="0.004109589041095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_);[Red]\(#,##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'[22年公报图表四五六部分.xlsx]第四部分-污水处理'!$C$28:$C$59</c:f>
              <c:numCache>
                <c:formatCode>#,##0.00</c:formatCode>
                <c:ptCount val="32"/>
                <c:pt idx="0">
                  <c:v>88.68</c:v>
                </c:pt>
                <c:pt idx="1">
                  <c:v>82.44</c:v>
                </c:pt>
                <c:pt idx="2">
                  <c:v>81.72</c:v>
                </c:pt>
                <c:pt idx="3">
                  <c:v>71.07</c:v>
                </c:pt>
                <c:pt idx="4">
                  <c:v>76.45</c:v>
                </c:pt>
                <c:pt idx="5">
                  <c:v>63.18</c:v>
                </c:pt>
                <c:pt idx="6">
                  <c:v>72.98</c:v>
                </c:pt>
                <c:pt idx="7">
                  <c:v>67.8</c:v>
                </c:pt>
                <c:pt idx="8">
                  <c:v>90.84</c:v>
                </c:pt>
                <c:pt idx="9">
                  <c:v>75.37</c:v>
                </c:pt>
                <c:pt idx="10">
                  <c:v>74.44</c:v>
                </c:pt>
                <c:pt idx="11">
                  <c:v>61.85</c:v>
                </c:pt>
                <c:pt idx="12">
                  <c:v>60.87</c:v>
                </c:pt>
                <c:pt idx="13">
                  <c:v>49.93</c:v>
                </c:pt>
                <c:pt idx="14">
                  <c:v>72.27</c:v>
                </c:pt>
                <c:pt idx="15">
                  <c:v>77.12</c:v>
                </c:pt>
                <c:pt idx="16">
                  <c:v>55.62</c:v>
                </c:pt>
                <c:pt idx="17">
                  <c:v>59.22</c:v>
                </c:pt>
                <c:pt idx="18">
                  <c:v>72.41</c:v>
                </c:pt>
                <c:pt idx="19">
                  <c:v>54.54</c:v>
                </c:pt>
                <c:pt idx="20">
                  <c:v>55.94</c:v>
                </c:pt>
                <c:pt idx="21">
                  <c:v>63.25</c:v>
                </c:pt>
                <c:pt idx="22">
                  <c:v>53.35</c:v>
                </c:pt>
                <c:pt idx="23">
                  <c:v>54.62</c:v>
                </c:pt>
                <c:pt idx="24">
                  <c:v>65.26</c:v>
                </c:pt>
                <c:pt idx="25">
                  <c:v>27.18</c:v>
                </c:pt>
                <c:pt idx="26">
                  <c:v>80.98</c:v>
                </c:pt>
                <c:pt idx="27">
                  <c:v>74.52</c:v>
                </c:pt>
                <c:pt idx="28">
                  <c:v>64.16</c:v>
                </c:pt>
                <c:pt idx="29">
                  <c:v>76.49</c:v>
                </c:pt>
                <c:pt idx="30">
                  <c:v>82.02</c:v>
                </c:pt>
                <c:pt idx="31">
                  <c:v>64.59</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"全国城市生活污水集中收集率70.1%"</c:f>
              <c:strCache>
                <c:ptCount val="1"/>
                <c:pt idx="0">
                  <c:v>全国城市生活污水集中收集率70.1%</c:v>
                </c:pt>
              </c:strCache>
            </c:strRef>
          </c:tx>
          <c:spPr>
            <a:ln w="15875" cap="rnd">
              <a:solidFill>
                <a:srgbClr val="002060"/>
              </a:solidFill>
              <a:prstDash val="dash"/>
              <a:round/>
            </a:ln>
            <a:effectLst/>
            <a:sp3d contourW="15875"/>
          </c:spPr>
          <c:marker>
            <c:symbol val="none"/>
          </c:marker>
          <c:dLbls>
            <c:delete val="1"/>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'[22年公报图表四五六部分.xlsx]第四部分-污水处理'!$D$27:$D$59</c:f>
              <c:numCache>
                <c:formatCode>#,##0.00</c:formatCode>
                <c:ptCount val="33"/>
                <c:pt idx="0">
                  <c:v>70.06</c:v>
                </c:pt>
                <c:pt idx="1">
                  <c:v>70.06</c:v>
                </c:pt>
                <c:pt idx="2">
                  <c:v>70.06</c:v>
                </c:pt>
                <c:pt idx="3">
                  <c:v>70.06</c:v>
                </c:pt>
                <c:pt idx="4">
                  <c:v>70.06</c:v>
                </c:pt>
                <c:pt idx="5">
                  <c:v>70.06</c:v>
                </c:pt>
                <c:pt idx="6">
                  <c:v>70.06</c:v>
                </c:pt>
                <c:pt idx="7">
                  <c:v>70.06</c:v>
                </c:pt>
                <c:pt idx="8">
                  <c:v>70.06</c:v>
                </c:pt>
                <c:pt idx="9">
                  <c:v>70.06</c:v>
                </c:pt>
                <c:pt idx="10">
                  <c:v>70.06</c:v>
                </c:pt>
                <c:pt idx="11">
                  <c:v>70.06</c:v>
                </c:pt>
                <c:pt idx="12">
                  <c:v>70.06</c:v>
                </c:pt>
                <c:pt idx="13">
                  <c:v>70.06</c:v>
                </c:pt>
                <c:pt idx="14">
                  <c:v>70.06</c:v>
                </c:pt>
                <c:pt idx="15">
                  <c:v>70.06</c:v>
                </c:pt>
                <c:pt idx="16">
                  <c:v>70.06</c:v>
                </c:pt>
                <c:pt idx="17">
                  <c:v>70.06</c:v>
                </c:pt>
                <c:pt idx="18">
                  <c:v>70.06</c:v>
                </c:pt>
                <c:pt idx="19">
                  <c:v>70.06</c:v>
                </c:pt>
                <c:pt idx="20">
                  <c:v>70.06</c:v>
                </c:pt>
                <c:pt idx="21">
                  <c:v>70.06</c:v>
                </c:pt>
                <c:pt idx="22">
                  <c:v>70.06</c:v>
                </c:pt>
                <c:pt idx="23">
                  <c:v>70.06</c:v>
                </c:pt>
                <c:pt idx="24">
                  <c:v>70.06</c:v>
                </c:pt>
                <c:pt idx="25">
                  <c:v>70.06</c:v>
                </c:pt>
                <c:pt idx="26">
                  <c:v>70.06</c:v>
                </c:pt>
                <c:pt idx="27">
                  <c:v>70.06</c:v>
                </c:pt>
                <c:pt idx="28">
                  <c:v>70.06</c:v>
                </c:pt>
                <c:pt idx="29">
                  <c:v>70.06</c:v>
                </c:pt>
                <c:pt idx="30">
                  <c:v>70.06</c:v>
                </c:pt>
                <c:pt idx="31">
                  <c:v>70.06</c:v>
                </c:pt>
                <c:pt idx="32">
                  <c:v>70.06</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100"/>
          <c:min val="20"/>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t>%</a:t>
                </a:r>
                <a:endParaRPr lang="en-US" altLang="zh-CN"/>
              </a:p>
            </c:rich>
          </c:tx>
          <c:layout>
            <c:manualLayout>
              <c:xMode val="edge"/>
              <c:yMode val="edge"/>
              <c:x val="0.00330724286186749"/>
              <c:y val="0.416033495283"/>
            </c:manualLayout>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20"/>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03842863364881"/>
          <c:y val="0.1340091916709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mn-lt"/>
                <a:ea typeface="+mn-ea"/>
                <a:cs typeface="+mn-cs"/>
              </a:defRPr>
            </a:pPr>
            <a:r>
              <a:rPr lang="en-US" altLang="zh-CN" sz="1200">
                <a:solidFill>
                  <a:sysClr val="windowText" lastClr="000000"/>
                </a:solidFill>
              </a:rPr>
              <a:t>2022</a:t>
            </a:r>
            <a:r>
              <a:rPr altLang="en-US" sz="1200">
                <a:solidFill>
                  <a:sysClr val="windowText" lastClr="000000"/>
                </a:solidFill>
              </a:rPr>
              <a:t>年全国分省（区、市）和新疆兵团城市城区人口</a:t>
            </a:r>
            <a:endParaRPr lang="en-US" altLang="zh-CN" sz="1200">
              <a:solidFill>
                <a:sysClr val="windowText" lastClr="000000"/>
              </a:solidFill>
            </a:endParaRPr>
          </a:p>
        </c:rich>
      </c:tx>
      <c:layout>
        <c:manualLayout>
          <c:xMode val="edge"/>
          <c:yMode val="edge"/>
          <c:x val="0.182212592621605"/>
          <c:y val="0.00888362451880367"/>
        </c:manualLayout>
      </c:layout>
      <c:overlay val="0"/>
      <c:spPr>
        <a:noFill/>
        <a:ln>
          <a:noFill/>
        </a:ln>
        <a:effectLst/>
      </c:spPr>
    </c:title>
    <c:autoTitleDeleted val="0"/>
    <c:plotArea>
      <c:layout>
        <c:manualLayout>
          <c:layoutTarget val="inner"/>
          <c:xMode val="edge"/>
          <c:yMode val="edge"/>
          <c:x val="0.12490661525485"/>
          <c:y val="0.201539538138558"/>
          <c:w val="0.870153030485601"/>
          <c:h val="0.478096571028691"/>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'[22公报数据-前三部分.xlsx]城区人口'!$A$32:$A$63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'[22公报数据-前三部分.xlsx]城区人口'!$D$32:$D$63</c:f>
              <c:numCache>
                <c:formatCode>0_ </c:formatCode>
                <c:ptCount val="32"/>
                <c:pt idx="0">
                  <c:v>1912.8</c:v>
                </c:pt>
                <c:pt idx="1">
                  <c:v>1160.07</c:v>
                </c:pt>
                <c:pt idx="2">
                  <c:v>2004.43</c:v>
                </c:pt>
                <c:pt idx="3">
                  <c:v>1280.07</c:v>
                </c:pt>
                <c:pt idx="4">
                  <c:v>935.76</c:v>
                </c:pt>
                <c:pt idx="5">
                  <c:v>2342.24</c:v>
                </c:pt>
                <c:pt idx="6">
                  <c:v>1199.63</c:v>
                </c:pt>
                <c:pt idx="7">
                  <c:v>1376.68</c:v>
                </c:pt>
                <c:pt idx="8">
                  <c:v>2475.89</c:v>
                </c:pt>
                <c:pt idx="9">
                  <c:v>3706.26</c:v>
                </c:pt>
                <c:pt idx="10">
                  <c:v>3254.23</c:v>
                </c:pt>
                <c:pt idx="11">
                  <c:v>1955.41</c:v>
                </c:pt>
                <c:pt idx="12">
                  <c:v>1510.57</c:v>
                </c:pt>
                <c:pt idx="13">
                  <c:v>1217.31</c:v>
                </c:pt>
                <c:pt idx="14">
                  <c:v>4156.71</c:v>
                </c:pt>
                <c:pt idx="15">
                  <c:v>2859.78</c:v>
                </c:pt>
                <c:pt idx="16">
                  <c:v>2433.98</c:v>
                </c:pt>
                <c:pt idx="17">
                  <c:v>1938.96</c:v>
                </c:pt>
                <c:pt idx="18">
                  <c:v>6603.86</c:v>
                </c:pt>
                <c:pt idx="19">
                  <c:v>1334.07</c:v>
                </c:pt>
                <c:pt idx="20">
                  <c:v>333.23</c:v>
                </c:pt>
                <c:pt idx="21">
                  <c:v>1617.5</c:v>
                </c:pt>
                <c:pt idx="22">
                  <c:v>3196.12</c:v>
                </c:pt>
                <c:pt idx="23">
                  <c:v>911.46</c:v>
                </c:pt>
                <c:pt idx="24">
                  <c:v>1077.84</c:v>
                </c:pt>
                <c:pt idx="25">
                  <c:v>95.92</c:v>
                </c:pt>
                <c:pt idx="26">
                  <c:v>1437.24</c:v>
                </c:pt>
                <c:pt idx="27">
                  <c:v>683.44</c:v>
                </c:pt>
                <c:pt idx="28">
                  <c:v>213.73</c:v>
                </c:pt>
                <c:pt idx="29">
                  <c:v>296.12</c:v>
                </c:pt>
                <c:pt idx="30">
                  <c:v>856.33</c:v>
                </c:pt>
                <c:pt idx="31">
                  <c:v>110.53</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mongolianVert" wrap="square" anchor="ctr" anchorCtr="1"/>
              <a:lstStyle/>
              <a:p>
                <a:pPr defTabSz="914400">
                  <a:defRPr lang="zh-CN" sz="1000" b="0" i="0" u="none" strike="noStrike" kern="1200" baseline="0">
                    <a:solidFill>
                      <a:sysClr val="windowText" lastClr="000000"/>
                    </a:solidFill>
                    <a:latin typeface="+mn-lt"/>
                    <a:ea typeface="+mn-ea"/>
                    <a:cs typeface="+mn-cs"/>
                  </a:defRPr>
                </a:pPr>
                <a:r>
                  <a:t>万人</a:t>
                </a:r>
              </a:p>
            </c:rich>
          </c:tx>
          <c:layout>
            <c:manualLayout>
              <c:xMode val="edge"/>
              <c:yMode val="edge"/>
              <c:x val="0.0143390769972286"/>
              <c:y val="0.312526242127362"/>
            </c:manualLayout>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年全国城市生活垃圾无害化处理率</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67361111111111"/>
          <c:y val="0.0102006120367222"/>
        </c:manualLayout>
      </c:layout>
      <c:overlay val="0"/>
      <c:spPr>
        <a:noFill/>
        <a:ln>
          <a:noFill/>
        </a:ln>
        <a:effectLst/>
      </c:spPr>
    </c:title>
    <c:autoTitleDeleted val="0"/>
    <c:plotArea>
      <c:layout>
        <c:manualLayout>
          <c:layoutTarget val="inner"/>
          <c:xMode val="edge"/>
          <c:yMode val="edge"/>
          <c:x val="0.0870721357850071"/>
          <c:y val="0.230962643678161"/>
          <c:w val="0.883507779349363"/>
          <c:h val="0.585991379310345"/>
        </c:manualLayout>
      </c:layout>
      <c:barChart>
        <c:barDir val="col"/>
        <c:grouping val="clustered"/>
        <c:varyColors val="0"/>
        <c:ser>
          <c:idx val="1"/>
          <c:order val="0"/>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'[22年公报图表四五六部分 0915.xlsx]第四部分生活垃圾'!$A$5:$A$14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'[22年公报图表四五六部分 0915.xlsx]第四部分生活垃圾'!$E$5:$E$14</c:f>
              <c:numCache>
                <c:formatCode>0.00%</c:formatCode>
                <c:ptCount val="10"/>
                <c:pt idx="0">
                  <c:v>0.89297523058182</c:v>
                </c:pt>
                <c:pt idx="1">
                  <c:v>0.917917133258679</c:v>
                </c:pt>
                <c:pt idx="2">
                  <c:v>0.941019747152858</c:v>
                </c:pt>
                <c:pt idx="3">
                  <c:v>0.966211570572635</c:v>
                </c:pt>
                <c:pt idx="4">
                  <c:v>0.977370940012081</c:v>
                </c:pt>
                <c:pt idx="5">
                  <c:v>0.989606174896939</c:v>
                </c:pt>
                <c:pt idx="6">
                  <c:v>0.992026770222259</c:v>
                </c:pt>
                <c:pt idx="7">
                  <c:v>0.997448111602586</c:v>
                </c:pt>
                <c:pt idx="8">
                  <c:v>0.998793678877317</c:v>
                </c:pt>
                <c:pt idx="9">
                  <c:v>0.998960552628209</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ax val="1"/>
          <c:min val="0.8"/>
        </c:scaling>
        <c:delete val="0"/>
        <c:axPos val="l"/>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0.1"/>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年全国城市生活垃圾无害化处理能力及同比变化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22645392718069"/>
          <c:y val="0.0346492179059824"/>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"城市生活垃圾无害化处理能力"</c:f>
              <c:strCache>
                <c:ptCount val="1"/>
                <c:pt idx="0">
                  <c:v>城市生活垃圾无害化处理能力</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'[22年公报图表四五六部分 0915.xlsx]第四部分生活垃圾'!$A$5:$A$14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'[22年公报图表四五六部分 0915.xlsx]第四部分生活垃圾'!$G$5:$G$14</c:f>
              <c:numCache>
                <c:formatCode>0.00_ </c:formatCode>
                <c:ptCount val="10"/>
                <c:pt idx="0">
                  <c:v>49.23</c:v>
                </c:pt>
                <c:pt idx="1">
                  <c:v>53.3455</c:v>
                </c:pt>
                <c:pt idx="2">
                  <c:v>57.6894</c:v>
                </c:pt>
                <c:pt idx="3">
                  <c:v>62.1351</c:v>
                </c:pt>
                <c:pt idx="4">
                  <c:v>67.9889</c:v>
                </c:pt>
                <c:pt idx="5">
                  <c:v>76.619498</c:v>
                </c:pt>
                <c:pt idx="6">
                  <c:v>86.987525</c:v>
                </c:pt>
                <c:pt idx="7">
                  <c:v>96.346015</c:v>
                </c:pt>
                <c:pt idx="8">
                  <c:v>105.706384</c:v>
                </c:pt>
                <c:pt idx="9">
                  <c:v>110.943478</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'[22年公报图表四五六部分 0915.xlsx]第六部分-建成区绿地面积'!$A$4:$A$13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'[22年公报图表四五六部分 0915.xlsx]第四部分生活垃圾'!$H$5:$H$14</c:f>
              <c:numCache>
                <c:formatCode>0.00%</c:formatCode>
                <c:ptCount val="10"/>
                <c:pt idx="0">
                  <c:v>0.103148780553389</c:v>
                </c:pt>
                <c:pt idx="1">
                  <c:v>0.0835973999593744</c:v>
                </c:pt>
                <c:pt idx="2">
                  <c:v>0.0814295488841608</c:v>
                </c:pt>
                <c:pt idx="3">
                  <c:v>0.0770626839592716</c:v>
                </c:pt>
                <c:pt idx="4">
                  <c:v>0.0942108405715931</c:v>
                </c:pt>
                <c:pt idx="5">
                  <c:v>0.126941280120725</c:v>
                </c:pt>
                <c:pt idx="6">
                  <c:v>0.135318388538646</c:v>
                </c:pt>
                <c:pt idx="7">
                  <c:v>0.107584277170778</c:v>
                </c:pt>
                <c:pt idx="8">
                  <c:v>0.0971536705488028</c:v>
                </c:pt>
                <c:pt idx="9">
                  <c:v>0.049543781575198</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万吨</a:t>
                </a:r>
                <a:r>
                  <a:rPr lang="en-US" altLang="zh-CN"/>
                  <a:t>/</a:t>
                </a:r>
                <a:r>
                  <a:rPr altLang="en-US"/>
                  <a:t>日</a:t>
                </a:r>
                <a:endParaRPr lang="en-US" altLang="zh-CN"/>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56899890620503"/>
          <c:y val="0.1481526317609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年全国分省（区、市）和新疆兵团城市生活垃圾无害化处理能力</a:t>
            </a:r>
            <a:endParaRPr lang="en-US" altLang="zh-CN"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26591205384138"/>
          <c:y val="0.0121654501216545"/>
        </c:manualLayout>
      </c:layout>
      <c:overlay val="0"/>
      <c:spPr>
        <a:noFill/>
        <a:ln>
          <a:noFill/>
        </a:ln>
        <a:effectLst/>
      </c:spPr>
    </c:title>
    <c:autoTitleDeleted val="0"/>
    <c:plotArea>
      <c:layout>
        <c:manualLayout>
          <c:layoutTarget val="inner"/>
          <c:xMode val="edge"/>
          <c:yMode val="edge"/>
          <c:x val="0.0874402730375427"/>
          <c:y val="0.155809523809524"/>
          <c:w val="0.90004550625711"/>
          <c:h val="0.491580952380952"/>
        </c:manualLayout>
      </c:layout>
      <c:barChart>
        <c:barDir val="col"/>
        <c:grouping val="clustered"/>
        <c:varyColors val="0"/>
        <c:ser>
          <c:idx val="0"/>
          <c:order val="0"/>
          <c:tx>
            <c:strRef>
              <c:f>"城市生活垃圾无害化处理能力"</c:f>
              <c:strCache>
                <c:ptCount val="1"/>
                <c:pt idx="0">
                  <c:v>城市生活垃圾无害化处理能力</c:v>
                </c:pt>
              </c:strCache>
            </c:strRef>
          </c:tx>
          <c:spPr>
            <a:solidFill>
              <a:srgbClr val="C00000"/>
            </a:solidFill>
            <a:ln>
              <a:noFill/>
            </a:ln>
            <a:effectLst/>
          </c:spPr>
          <c:invertIfNegative val="0"/>
          <c:dLbls>
            <c:dLbl>
              <c:idx val="18"/>
              <c:layout>
                <c:manualLayout>
                  <c:x val="0.00117508813160987"/>
                  <c:y val="0.02738654147104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_);[Red]\(#,##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[22年公报图表四五六部分.xlsx]第四部分生活垃圾!$G$31:$G$62</c:f>
              <c:numCache>
                <c:formatCode>0.0_ </c:formatCode>
                <c:ptCount val="32"/>
                <c:pt idx="0">
                  <c:v>3.1461</c:v>
                </c:pt>
                <c:pt idx="1">
                  <c:v>1.955</c:v>
                </c:pt>
                <c:pt idx="2">
                  <c:v>3.7631</c:v>
                </c:pt>
                <c:pt idx="3">
                  <c:v>1.98698</c:v>
                </c:pt>
                <c:pt idx="4">
                  <c:v>1.472803</c:v>
                </c:pt>
                <c:pt idx="5">
                  <c:v>3.8324</c:v>
                </c:pt>
                <c:pt idx="6">
                  <c:v>2.221</c:v>
                </c:pt>
                <c:pt idx="7">
                  <c:v>2.2447</c:v>
                </c:pt>
                <c:pt idx="8">
                  <c:v>3.7012</c:v>
                </c:pt>
                <c:pt idx="9">
                  <c:v>7.8539</c:v>
                </c:pt>
                <c:pt idx="10">
                  <c:v>8.2166</c:v>
                </c:pt>
                <c:pt idx="11">
                  <c:v>3.677865</c:v>
                </c:pt>
                <c:pt idx="12">
                  <c:v>3.1223</c:v>
                </c:pt>
                <c:pt idx="13">
                  <c:v>2.32892</c:v>
                </c:pt>
                <c:pt idx="14">
                  <c:v>7.5849</c:v>
                </c:pt>
                <c:pt idx="15">
                  <c:v>4.6735</c:v>
                </c:pt>
                <c:pt idx="16">
                  <c:v>4.12229</c:v>
                </c:pt>
                <c:pt idx="17">
                  <c:v>3.8153</c:v>
                </c:pt>
                <c:pt idx="18">
                  <c:v>17.869727</c:v>
                </c:pt>
                <c:pt idx="19">
                  <c:v>3.0459</c:v>
                </c:pt>
                <c:pt idx="20">
                  <c:v>1.5</c:v>
                </c:pt>
                <c:pt idx="21">
                  <c:v>2.895616</c:v>
                </c:pt>
                <c:pt idx="22">
                  <c:v>4.557994</c:v>
                </c:pt>
                <c:pt idx="23">
                  <c:v>2.4517</c:v>
                </c:pt>
                <c:pt idx="24">
                  <c:v>1.697036</c:v>
                </c:pt>
                <c:pt idx="25">
                  <c:v>0.233</c:v>
                </c:pt>
                <c:pt idx="26">
                  <c:v>3.204627</c:v>
                </c:pt>
                <c:pt idx="27">
                  <c:v>1.2342</c:v>
                </c:pt>
                <c:pt idx="28">
                  <c:v>0.2152</c:v>
                </c:pt>
                <c:pt idx="29">
                  <c:v>0.727</c:v>
                </c:pt>
                <c:pt idx="30">
                  <c:v>1.39396</c:v>
                </c:pt>
                <c:pt idx="31">
                  <c:v>0.19866</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20"/>
          <c:min val="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万吨</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日</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5"/>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年全国分省（区、市）和新疆兵团城市生活垃圾焚烧处理能力占比</a:t>
            </a:r>
            <a:endParaRPr lang="en-US" altLang="zh-CN"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31534294352923"/>
          <c:y val="0.00968992248062015"/>
        </c:manualLayout>
      </c:layout>
      <c:overlay val="0"/>
      <c:spPr>
        <a:noFill/>
        <a:ln>
          <a:noFill/>
        </a:ln>
        <a:effectLst/>
      </c:spPr>
    </c:title>
    <c:autoTitleDeleted val="0"/>
    <c:plotArea>
      <c:layout>
        <c:manualLayout>
          <c:layoutTarget val="inner"/>
          <c:xMode val="edge"/>
          <c:yMode val="edge"/>
          <c:x val="0.0809401804611786"/>
          <c:y val="0.31750645994832"/>
          <c:w val="0.904912554305447"/>
          <c:h val="0.386757105943152"/>
        </c:manualLayout>
      </c:layout>
      <c:barChart>
        <c:barDir val="col"/>
        <c:grouping val="clustered"/>
        <c:varyColors val="0"/>
        <c:ser>
          <c:idx val="0"/>
          <c:order val="0"/>
          <c:tx>
            <c:strRef>
              <c:f>"焚烧处理能力占比"</c:f>
              <c:strCache>
                <c:ptCount val="1"/>
                <c:pt idx="0">
                  <c:v>焚烧处理能力占比</c:v>
                </c:pt>
              </c:strCache>
            </c:strRef>
          </c:tx>
          <c:spPr>
            <a:solidFill>
              <a:srgbClr val="C00000"/>
            </a:solidFill>
            <a:ln>
              <a:noFill/>
            </a:ln>
            <a:effectLst/>
          </c:spPr>
          <c:invertIfNegative val="0"/>
          <c:dLbls>
            <c:dLbl>
              <c:idx val="0"/>
              <c:layout>
                <c:manualLayout>
                  <c:x val="0.00113211819313936"/>
                  <c:y val="0.00976244712007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13211819313936"/>
                  <c:y val="0.0032541490400260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0.0074289405684754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0.014857881136950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_);[Red]\(#,##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[22年公报图表四五六部分.xlsx]第四部分生活垃圾!$H$31:$H$62</c:f>
              <c:numCache>
                <c:formatCode>0.0_);[Red]\(0.0\)</c:formatCode>
                <c:ptCount val="32"/>
                <c:pt idx="0">
                  <c:v>54.5119354120975</c:v>
                </c:pt>
                <c:pt idx="1">
                  <c:v>93.0946291560102</c:v>
                </c:pt>
                <c:pt idx="2">
                  <c:v>84.6376657542983</c:v>
                </c:pt>
                <c:pt idx="3">
                  <c:v>70.9619623750616</c:v>
                </c:pt>
                <c:pt idx="4">
                  <c:v>48.2073977307216</c:v>
                </c:pt>
                <c:pt idx="5">
                  <c:v>60.8756914727064</c:v>
                </c:pt>
                <c:pt idx="6">
                  <c:v>55.155335434489</c:v>
                </c:pt>
                <c:pt idx="7">
                  <c:v>56.8004633135831</c:v>
                </c:pt>
                <c:pt idx="8">
                  <c:v>62.1420079974062</c:v>
                </c:pt>
                <c:pt idx="9">
                  <c:v>81.5238289257566</c:v>
                </c:pt>
                <c:pt idx="10">
                  <c:v>88.4794197113161</c:v>
                </c:pt>
                <c:pt idx="11">
                  <c:v>73.8471912373075</c:v>
                </c:pt>
                <c:pt idx="12">
                  <c:v>83.8420395221471</c:v>
                </c:pt>
                <c:pt idx="13">
                  <c:v>89.5264757913539</c:v>
                </c:pt>
                <c:pt idx="14">
                  <c:v>78.6562776041873</c:v>
                </c:pt>
                <c:pt idx="15">
                  <c:v>84.3265218786777</c:v>
                </c:pt>
                <c:pt idx="16">
                  <c:v>73.6173340546153</c:v>
                </c:pt>
                <c:pt idx="17">
                  <c:v>56.6954105837025</c:v>
                </c:pt>
                <c:pt idx="18">
                  <c:v>71.5931474498743</c:v>
                </c:pt>
                <c:pt idx="19">
                  <c:v>65.4978823992909</c:v>
                </c:pt>
                <c:pt idx="20">
                  <c:v>89.3333333333333</c:v>
                </c:pt>
                <c:pt idx="21">
                  <c:v>67.0735346123243</c:v>
                </c:pt>
                <c:pt idx="22">
                  <c:v>79.227835754062</c:v>
                </c:pt>
                <c:pt idx="23">
                  <c:v>68.3199412652445</c:v>
                </c:pt>
                <c:pt idx="24">
                  <c:v>74.8776101390896</c:v>
                </c:pt>
                <c:pt idx="25">
                  <c:v>30.0429184549356</c:v>
                </c:pt>
                <c:pt idx="26">
                  <c:v>49.771783112356</c:v>
                </c:pt>
                <c:pt idx="27">
                  <c:v>61.9834710743802</c:v>
                </c:pt>
                <c:pt idx="28">
                  <c:v>0</c:v>
                </c:pt>
                <c:pt idx="29">
                  <c:v>68.7757909215956</c:v>
                </c:pt>
                <c:pt idx="30">
                  <c:v>49.4992682716864</c:v>
                </c:pt>
                <c:pt idx="31">
                  <c:v>25.1686298197926</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"全国焚烧处理能力占比72.5%"</c:f>
              <c:strCache>
                <c:ptCount val="1"/>
                <c:pt idx="0">
                  <c:v>全国焚烧处理能力占比72.5%</c:v>
                </c:pt>
              </c:strCache>
            </c:strRef>
          </c:tx>
          <c:spPr>
            <a:ln w="15875" cap="rnd">
              <a:solidFill>
                <a:srgbClr val="002060"/>
              </a:solidFill>
              <a:prstDash val="dash"/>
              <a:round/>
            </a:ln>
            <a:effectLst/>
            <a:sp3d contourW="15875"/>
          </c:spPr>
          <c:marker>
            <c:symbol val="none"/>
          </c:marker>
          <c:dLbls>
            <c:delete val="1"/>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[22年公报图表四五六部分.xlsx]第四部分生活垃圾!$I$30:$I$62</c:f>
              <c:numCache>
                <c:formatCode>General</c:formatCode>
                <c:ptCount val="33"/>
                <c:pt idx="1" c:formatCode="0.0_);[Red]\(0.0\)">
                  <c:v>72.5</c:v>
                </c:pt>
                <c:pt idx="2" c:formatCode="0.0_);[Red]\(0.0\)">
                  <c:v>72.5</c:v>
                </c:pt>
                <c:pt idx="3" c:formatCode="0.0_);[Red]\(0.0\)">
                  <c:v>72.5</c:v>
                </c:pt>
                <c:pt idx="4" c:formatCode="0.0_);[Red]\(0.0\)">
                  <c:v>72.5</c:v>
                </c:pt>
                <c:pt idx="5" c:formatCode="0.0_);[Red]\(0.0\)">
                  <c:v>72.5</c:v>
                </c:pt>
                <c:pt idx="6" c:formatCode="0.0_);[Red]\(0.0\)">
                  <c:v>72.5</c:v>
                </c:pt>
                <c:pt idx="7" c:formatCode="0.0_);[Red]\(0.0\)">
                  <c:v>72.5</c:v>
                </c:pt>
                <c:pt idx="8" c:formatCode="0.0_);[Red]\(0.0\)">
                  <c:v>72.5</c:v>
                </c:pt>
                <c:pt idx="9" c:formatCode="0.0_);[Red]\(0.0\)">
                  <c:v>72.5</c:v>
                </c:pt>
                <c:pt idx="10" c:formatCode="0.0_);[Red]\(0.0\)">
                  <c:v>72.5</c:v>
                </c:pt>
                <c:pt idx="11" c:formatCode="0.0_);[Red]\(0.0\)">
                  <c:v>72.5</c:v>
                </c:pt>
                <c:pt idx="12" c:formatCode="0.0_);[Red]\(0.0\)">
                  <c:v>72.5</c:v>
                </c:pt>
                <c:pt idx="13" c:formatCode="0.0_);[Red]\(0.0\)">
                  <c:v>72.5</c:v>
                </c:pt>
                <c:pt idx="14" c:formatCode="0.0_);[Red]\(0.0\)">
                  <c:v>72.5</c:v>
                </c:pt>
                <c:pt idx="15" c:formatCode="0.0_);[Red]\(0.0\)">
                  <c:v>72.5</c:v>
                </c:pt>
                <c:pt idx="16" c:formatCode="0.0_);[Red]\(0.0\)">
                  <c:v>72.5</c:v>
                </c:pt>
                <c:pt idx="17" c:formatCode="0.0_);[Red]\(0.0\)">
                  <c:v>72.5</c:v>
                </c:pt>
                <c:pt idx="18" c:formatCode="0.0_);[Red]\(0.0\)">
                  <c:v>72.5</c:v>
                </c:pt>
                <c:pt idx="19" c:formatCode="0.0_);[Red]\(0.0\)">
                  <c:v>72.5</c:v>
                </c:pt>
                <c:pt idx="20" c:formatCode="0.0_);[Red]\(0.0\)">
                  <c:v>72.5</c:v>
                </c:pt>
                <c:pt idx="21" c:formatCode="0.0_);[Red]\(0.0\)">
                  <c:v>72.5</c:v>
                </c:pt>
                <c:pt idx="22" c:formatCode="0.0_);[Red]\(0.0\)">
                  <c:v>72.5</c:v>
                </c:pt>
                <c:pt idx="23" c:formatCode="0.0_);[Red]\(0.0\)">
                  <c:v>72.5</c:v>
                </c:pt>
                <c:pt idx="24" c:formatCode="0.0_);[Red]\(0.0\)">
                  <c:v>72.5</c:v>
                </c:pt>
                <c:pt idx="25" c:formatCode="0.0_);[Red]\(0.0\)">
                  <c:v>72.5</c:v>
                </c:pt>
                <c:pt idx="26" c:formatCode="0.0_);[Red]\(0.0\)">
                  <c:v>72.5</c:v>
                </c:pt>
                <c:pt idx="27" c:formatCode="0.0_);[Red]\(0.0\)">
                  <c:v>72.5</c:v>
                </c:pt>
                <c:pt idx="28" c:formatCode="0.0_);[Red]\(0.0\)">
                  <c:v>72.5</c:v>
                </c:pt>
                <c:pt idx="29" c:formatCode="0.0_);[Red]\(0.0\)">
                  <c:v>72.5</c:v>
                </c:pt>
                <c:pt idx="30" c:formatCode="0.0_);[Red]\(0.0\)">
                  <c:v>72.5</c:v>
                </c:pt>
                <c:pt idx="31" c:formatCode="0.0_);[Red]\(0.0\)">
                  <c:v>72.5</c:v>
                </c:pt>
                <c:pt idx="32" c:formatCode="0.0_);[Red]\(0.0\)">
                  <c:v>72.5</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100"/>
          <c:min val="0"/>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t>%</a:t>
                </a:r>
                <a:endParaRPr lang="en-US" altLang="zh-CN"/>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20"/>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0270802378993"/>
          <c:y val="0.1340091916709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年全国城市建成区绿地面积及同比变化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65407425527288"/>
          <c:y val="0.0187222171822553"/>
        </c:manualLayout>
      </c:layout>
      <c:overlay val="0"/>
      <c:spPr>
        <a:noFill/>
        <a:ln>
          <a:noFill/>
        </a:ln>
        <a:effectLst/>
      </c:spPr>
    </c:title>
    <c:autoTitleDeleted val="0"/>
    <c:plotArea>
      <c:layout>
        <c:manualLayout>
          <c:layoutTarget val="inner"/>
          <c:xMode val="edge"/>
          <c:yMode val="edge"/>
          <c:x val="0.0962296151337247"/>
          <c:y val="0.223359422034919"/>
          <c:w val="0.836503587736464"/>
          <c:h val="0.652739313666466"/>
        </c:manualLayout>
      </c:layout>
      <c:barChart>
        <c:barDir val="col"/>
        <c:grouping val="clustered"/>
        <c:varyColors val="0"/>
        <c:ser>
          <c:idx val="1"/>
          <c:order val="0"/>
          <c:tx>
            <c:strRef>
              <c:f>"城市建成区绿地面积"</c:f>
              <c:strCache>
                <c:ptCount val="1"/>
                <c:pt idx="0">
                  <c:v>城市建成区绿地面积</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'[22年公报图表四五六部分 0915.xlsx]第六部分-建成区绿地面积'!$A$5:$A$14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'[22年公报图表四五六部分 0915.xlsx]第六部分-建成区绿地面积'!$C$5:$C$14</c:f>
              <c:numCache>
                <c:formatCode>0.00_ </c:formatCode>
                <c:ptCount val="10"/>
                <c:pt idx="0">
                  <c:v>171.9361</c:v>
                </c:pt>
                <c:pt idx="1">
                  <c:v>181.996015</c:v>
                </c:pt>
                <c:pt idx="2">
                  <c:v>190.786221</c:v>
                </c:pt>
                <c:pt idx="3">
                  <c:v>199.258398</c:v>
                </c:pt>
                <c:pt idx="4">
                  <c:v>209.912002</c:v>
                </c:pt>
                <c:pt idx="5">
                  <c:v>219.712159</c:v>
                </c:pt>
                <c:pt idx="6">
                  <c:v>228.520669</c:v>
                </c:pt>
                <c:pt idx="7">
                  <c:v>239.808468</c:v>
                </c:pt>
                <c:pt idx="8">
                  <c:v>249.250902</c:v>
                </c:pt>
                <c:pt idx="9">
                  <c:v>257.971976</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'[22年公报图表四五六部分 0915.xlsx]第六部分-建成区绿地面积'!$A$5:$A$14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'[22年公报图表四五六部分 0915.xlsx]第六部分-建成区绿地面积'!$D$5:$D$14</c:f>
              <c:numCache>
                <c:formatCode>0.00%</c:formatCode>
                <c:ptCount val="10"/>
                <c:pt idx="0">
                  <c:v>0.0514426016976102</c:v>
                </c:pt>
                <c:pt idx="1">
                  <c:v>0.0585096149092599</c:v>
                </c:pt>
                <c:pt idx="2">
                  <c:v>0.0482988926982824</c:v>
                </c:pt>
                <c:pt idx="3">
                  <c:v>0.0444066503104541</c:v>
                </c:pt>
                <c:pt idx="4">
                  <c:v>0.0534662734767144</c:v>
                </c:pt>
                <c:pt idx="5">
                  <c:v>0.0466869779080092</c:v>
                </c:pt>
                <c:pt idx="6">
                  <c:v>0.0400911357846154</c:v>
                </c:pt>
                <c:pt idx="7">
                  <c:v>0.0493950899469842</c:v>
                </c:pt>
                <c:pt idx="8">
                  <c:v>0.0393748981374586</c:v>
                </c:pt>
                <c:pt idx="9">
                  <c:v>0.0349891371707052</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万公顷</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49344119794644"/>
          <c:y val="0.14153011520470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年全国分省（区、市）和新疆兵团城市建成区绿地面积</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93856797473357"/>
          <c:y val="0.00888362451880367"/>
        </c:manualLayout>
      </c:layout>
      <c:overlay val="0"/>
      <c:spPr>
        <a:noFill/>
        <a:ln>
          <a:noFill/>
        </a:ln>
        <a:effectLst/>
      </c:spPr>
    </c:title>
    <c:autoTitleDeleted val="0"/>
    <c:plotArea>
      <c:layout>
        <c:manualLayout>
          <c:layoutTarget val="inner"/>
          <c:xMode val="edge"/>
          <c:yMode val="edge"/>
          <c:x val="0.0899409709673533"/>
          <c:y val="0.252385349338258"/>
          <c:w val="0.884519937356945"/>
          <c:h val="0.46580486303478"/>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'[22年公报图表四五六部分.xlsx]第六部分-建成区绿地面积'!$C$32:$C$63</c:f>
              <c:numCache>
                <c:formatCode>0.00_ </c:formatCode>
                <c:ptCount val="32"/>
                <c:pt idx="0">
                  <c:v>9.35581</c:v>
                </c:pt>
                <c:pt idx="1">
                  <c:v>4.488036</c:v>
                </c:pt>
                <c:pt idx="2">
                  <c:v>9.069779</c:v>
                </c:pt>
                <c:pt idx="3">
                  <c:v>5.197905</c:v>
                </c:pt>
                <c:pt idx="4">
                  <c:v>4.958685</c:v>
                </c:pt>
                <c:pt idx="5">
                  <c:v>10.87357</c:v>
                </c:pt>
                <c:pt idx="6">
                  <c:v>6.149374</c:v>
                </c:pt>
                <c:pt idx="7">
                  <c:v>6.250369</c:v>
                </c:pt>
                <c:pt idx="8">
                  <c:v>4.578332</c:v>
                </c:pt>
                <c:pt idx="9">
                  <c:v>19.983922</c:v>
                </c:pt>
                <c:pt idx="10">
                  <c:v>13.106161</c:v>
                </c:pt>
                <c:pt idx="11">
                  <c:v>10.287758</c:v>
                </c:pt>
                <c:pt idx="12">
                  <c:v>7.637421</c:v>
                </c:pt>
                <c:pt idx="13">
                  <c:v>7.745398</c:v>
                </c:pt>
                <c:pt idx="14">
                  <c:v>22.694656</c:v>
                </c:pt>
                <c:pt idx="15">
                  <c:v>12.505662</c:v>
                </c:pt>
                <c:pt idx="16">
                  <c:v>11.29874</c:v>
                </c:pt>
                <c:pt idx="17">
                  <c:v>8.149735</c:v>
                </c:pt>
                <c:pt idx="18">
                  <c:v>26.465869</c:v>
                </c:pt>
                <c:pt idx="19">
                  <c:v>6.669376</c:v>
                </c:pt>
                <c:pt idx="20">
                  <c:v>1.653101</c:v>
                </c:pt>
                <c:pt idx="21">
                  <c:v>6.781427</c:v>
                </c:pt>
                <c:pt idx="22">
                  <c:v>13.172392</c:v>
                </c:pt>
                <c:pt idx="23">
                  <c:v>4.798788</c:v>
                </c:pt>
                <c:pt idx="24">
                  <c:v>5.089981</c:v>
                </c:pt>
                <c:pt idx="25">
                  <c:v>0.658959</c:v>
                </c:pt>
                <c:pt idx="26">
                  <c:v>5.968057</c:v>
                </c:pt>
                <c:pt idx="27">
                  <c:v>3.202807</c:v>
                </c:pt>
                <c:pt idx="28">
                  <c:v>0.855776</c:v>
                </c:pt>
                <c:pt idx="29">
                  <c:v>1.96192</c:v>
                </c:pt>
                <c:pt idx="30">
                  <c:v>5.428024</c:v>
                </c:pt>
                <c:pt idx="31">
                  <c:v>0.934186</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mongolianVert" wrap="square" anchor="ctr" anchorCtr="1"/>
              <a:lstStyle/>
              <a:p>
                <a:pPr defTabSz="914400">
                  <a:defRPr lang="zh-CN" sz="1000" b="0" i="0" u="none" strike="noStrike" kern="1200" baseline="0">
                    <a:solidFill>
                      <a:sysClr val="windowText" lastClr="000000"/>
                    </a:solidFill>
                    <a:latin typeface="+mn-lt"/>
                    <a:ea typeface="+mn-ea"/>
                    <a:cs typeface="+mn-cs"/>
                  </a:defRPr>
                </a:pPr>
                <a:r>
                  <a:t>万公顷</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年全国城市建成区绿地率</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40226248976249"/>
          <c:y val="0.0300204150660772"/>
        </c:manualLayout>
      </c:layout>
      <c:overlay val="0"/>
      <c:spPr>
        <a:noFill/>
        <a:ln>
          <a:noFill/>
        </a:ln>
        <a:effectLst/>
      </c:spPr>
    </c:title>
    <c:autoTitleDeleted val="0"/>
    <c:plotArea>
      <c:layout>
        <c:manualLayout>
          <c:layoutTarget val="inner"/>
          <c:xMode val="edge"/>
          <c:yMode val="edge"/>
          <c:x val="0.0804804804804805"/>
          <c:y val="0.2"/>
          <c:w val="0.899453999453999"/>
          <c:h val="0.654814814814815"/>
        </c:manualLayout>
      </c:layout>
      <c:barChart>
        <c:barDir val="col"/>
        <c:grouping val="clustered"/>
        <c:varyColors val="0"/>
        <c:ser>
          <c:idx val="1"/>
          <c:order val="0"/>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'[22年公报图表四五六部分 0915.xlsx]第六部分-建成区绿地率'!$A$5:$A$14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'[22年公报图表四五六部分 0915.xlsx]第六部分-建成区绿地率'!$C$5:$C$14</c:f>
              <c:numCache>
                <c:formatCode>0.00%</c:formatCode>
                <c:ptCount val="10"/>
                <c:pt idx="0">
                  <c:v>0.3578</c:v>
                </c:pt>
                <c:pt idx="1">
                  <c:v>0.3629</c:v>
                </c:pt>
                <c:pt idx="2">
                  <c:v>0.3636</c:v>
                </c:pt>
                <c:pt idx="3">
                  <c:v>0.3643</c:v>
                </c:pt>
                <c:pt idx="4">
                  <c:v>0.3711</c:v>
                </c:pt>
                <c:pt idx="5">
                  <c:v>0.37344629189374</c:v>
                </c:pt>
                <c:pt idx="6">
                  <c:v>0.376280102255285</c:v>
                </c:pt>
                <c:pt idx="7">
                  <c:v>0.38243061455159</c:v>
                </c:pt>
                <c:pt idx="8">
                  <c:v>0.387</c:v>
                </c:pt>
                <c:pt idx="9">
                  <c:v>0.392861399143881</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0.01"/>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年全国分省（区、市）和新疆兵团城市建成区绿地率</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8331191004354"/>
          <c:y val="0.0113172001843042"/>
        </c:manualLayout>
      </c:layout>
      <c:overlay val="0"/>
      <c:spPr>
        <a:noFill/>
        <a:ln>
          <a:noFill/>
        </a:ln>
        <a:effectLst/>
      </c:spPr>
    </c:title>
    <c:autoTitleDeleted val="0"/>
    <c:plotArea>
      <c:layout>
        <c:manualLayout>
          <c:layoutTarget val="inner"/>
          <c:xMode val="edge"/>
          <c:yMode val="edge"/>
          <c:x val="0.0840539083557952"/>
          <c:y val="0.255746290369508"/>
          <c:w val="0.890501347708895"/>
          <c:h val="0.472912423625255"/>
        </c:manualLayout>
      </c:layout>
      <c:barChart>
        <c:barDir val="col"/>
        <c:grouping val="clustered"/>
        <c:varyColors val="0"/>
        <c:ser>
          <c:idx val="0"/>
          <c:order val="0"/>
          <c:tx>
            <c:strRef>
              <c:f>"城市建成区绿地率"</c:f>
              <c:strCache>
                <c:ptCount val="1"/>
                <c:pt idx="0">
                  <c:v>城市建成区绿地率</c:v>
                </c:pt>
              </c:strCache>
            </c:strRef>
          </c:tx>
          <c:spPr>
            <a:solidFill>
              <a:srgbClr val="C00000"/>
            </a:solidFill>
            <a:ln>
              <a:noFill/>
            </a:ln>
            <a:effectLst/>
          </c:spPr>
          <c:invertIfNegative val="0"/>
          <c:dLbls>
            <c:dLbl>
              <c:idx val="2"/>
              <c:layout>
                <c:manualLayout>
                  <c:x val="-0.00530056619684375"/>
                  <c:y val="0.0065887990416292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80713167088302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26502830984218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00397542464763282"/>
                  <c:y val="0.0032943995208146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6"/>
              <c:layout>
                <c:manualLayout>
                  <c:x val="0.00662570774605469"/>
                  <c:y val="-0.0065887990416292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_);[Red]\(#,##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'[22年公报图表四五六部分.xlsx]第六部分-建成区绿地率'!$B$22:$B$53</c:f>
              <c:numCache>
                <c:formatCode>#,##0.00</c:formatCode>
                <c:ptCount val="32"/>
                <c:pt idx="0">
                  <c:v>47.05</c:v>
                </c:pt>
                <c:pt idx="1">
                  <c:v>35.4936969140977</c:v>
                </c:pt>
                <c:pt idx="2">
                  <c:v>40.0085533048664</c:v>
                </c:pt>
                <c:pt idx="3">
                  <c:v>40.1357831176452</c:v>
                </c:pt>
                <c:pt idx="4">
                  <c:v>38.9588702074167</c:v>
                </c:pt>
                <c:pt idx="5">
                  <c:v>38.6268352379904</c:v>
                </c:pt>
                <c:pt idx="6">
                  <c:v>38.9200886075949</c:v>
                </c:pt>
                <c:pt idx="7">
                  <c:v>34.6751490943386</c:v>
                </c:pt>
                <c:pt idx="8">
                  <c:v>36.862576489533</c:v>
                </c:pt>
                <c:pt idx="9">
                  <c:v>40.6493713602255</c:v>
                </c:pt>
                <c:pt idx="10">
                  <c:v>38.2439429353456</c:v>
                </c:pt>
                <c:pt idx="11">
                  <c:v>41.1464236005567</c:v>
                </c:pt>
                <c:pt idx="12">
                  <c:v>40.6797571173666</c:v>
                </c:pt>
                <c:pt idx="13">
                  <c:v>43.282711834098</c:v>
                </c:pt>
                <c:pt idx="14">
                  <c:v>39.7246555656495</c:v>
                </c:pt>
                <c:pt idx="15">
                  <c:v>35.5162491373459</c:v>
                </c:pt>
                <c:pt idx="16">
                  <c:v>39.420901687961</c:v>
                </c:pt>
                <c:pt idx="17">
                  <c:v>38.7162646853429</c:v>
                </c:pt>
                <c:pt idx="18">
                  <c:v>40.2503745070575</c:v>
                </c:pt>
                <c:pt idx="19">
                  <c:v>36.8579702455954</c:v>
                </c:pt>
                <c:pt idx="20">
                  <c:v>39.4271369967563</c:v>
                </c:pt>
                <c:pt idx="21">
                  <c:v>41.3300036567528</c:v>
                </c:pt>
                <c:pt idx="22">
                  <c:v>38.6087884259151</c:v>
                </c:pt>
                <c:pt idx="23">
                  <c:v>40.1639437562772</c:v>
                </c:pt>
                <c:pt idx="24">
                  <c:v>39.5237026626185</c:v>
                </c:pt>
                <c:pt idx="25">
                  <c:v>38.6010778513268</c:v>
                </c:pt>
                <c:pt idx="26">
                  <c:v>38.4165985413676</c:v>
                </c:pt>
                <c:pt idx="27">
                  <c:v>33.0844567025112</c:v>
                </c:pt>
                <c:pt idx="28">
                  <c:v>34.2200895713372</c:v>
                </c:pt>
                <c:pt idx="29">
                  <c:v>40.3969855454433</c:v>
                </c:pt>
                <c:pt idx="30">
                  <c:v>38.0100416652078</c:v>
                </c:pt>
                <c:pt idx="31">
                  <c:v>41.2389528980709</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"全国城市建成区绿地率39.3%"</c:f>
              <c:strCache>
                <c:ptCount val="1"/>
                <c:pt idx="0">
                  <c:v>全国城市建成区绿地率39.3%</c:v>
                </c:pt>
              </c:strCache>
            </c:strRef>
          </c:tx>
          <c:spPr>
            <a:ln w="15875" cap="rnd">
              <a:solidFill>
                <a:srgbClr val="002060"/>
              </a:solidFill>
              <a:prstDash val="dash"/>
              <a:round/>
            </a:ln>
            <a:effectLst/>
            <a:sp3d contourW="15875"/>
          </c:spPr>
          <c:marker>
            <c:symbol val="none"/>
          </c:marker>
          <c:dLbls>
            <c:delete val="1"/>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'[22年公报图表四五六部分.xlsx]第六部分-建成区绿地率'!$D$22:$D$53</c:f>
              <c:numCache>
                <c:formatCode>#,##0.00</c:formatCode>
                <c:ptCount val="32"/>
                <c:pt idx="0">
                  <c:v>39.2861399143881</c:v>
                </c:pt>
                <c:pt idx="1">
                  <c:v>39.2861399143881</c:v>
                </c:pt>
                <c:pt idx="2">
                  <c:v>39.2861399143881</c:v>
                </c:pt>
                <c:pt idx="3">
                  <c:v>39.2861399143881</c:v>
                </c:pt>
                <c:pt idx="4">
                  <c:v>39.2861399143881</c:v>
                </c:pt>
                <c:pt idx="5">
                  <c:v>39.2861399143881</c:v>
                </c:pt>
                <c:pt idx="6">
                  <c:v>39.2861399143881</c:v>
                </c:pt>
                <c:pt idx="7">
                  <c:v>39.2861399143881</c:v>
                </c:pt>
                <c:pt idx="8">
                  <c:v>39.2861399143881</c:v>
                </c:pt>
                <c:pt idx="9">
                  <c:v>39.2861399143881</c:v>
                </c:pt>
                <c:pt idx="10">
                  <c:v>39.2861399143881</c:v>
                </c:pt>
                <c:pt idx="11">
                  <c:v>39.2861399143881</c:v>
                </c:pt>
                <c:pt idx="12">
                  <c:v>39.2861399143881</c:v>
                </c:pt>
                <c:pt idx="13">
                  <c:v>39.2861399143881</c:v>
                </c:pt>
                <c:pt idx="14">
                  <c:v>39.2861399143881</c:v>
                </c:pt>
                <c:pt idx="15">
                  <c:v>39.2861399143881</c:v>
                </c:pt>
                <c:pt idx="16">
                  <c:v>39.2861399143881</c:v>
                </c:pt>
                <c:pt idx="17">
                  <c:v>39.2861399143881</c:v>
                </c:pt>
                <c:pt idx="18">
                  <c:v>39.2861399143881</c:v>
                </c:pt>
                <c:pt idx="19">
                  <c:v>39.2861399143881</c:v>
                </c:pt>
                <c:pt idx="20">
                  <c:v>39.2861399143881</c:v>
                </c:pt>
                <c:pt idx="21">
                  <c:v>39.2861399143881</c:v>
                </c:pt>
                <c:pt idx="22">
                  <c:v>39.2861399143881</c:v>
                </c:pt>
                <c:pt idx="23">
                  <c:v>39.2861399143881</c:v>
                </c:pt>
                <c:pt idx="24">
                  <c:v>39.2861399143881</c:v>
                </c:pt>
                <c:pt idx="25">
                  <c:v>39.2861399143881</c:v>
                </c:pt>
                <c:pt idx="26">
                  <c:v>39.2861399143881</c:v>
                </c:pt>
                <c:pt idx="27">
                  <c:v>39.2861399143881</c:v>
                </c:pt>
                <c:pt idx="28">
                  <c:v>39.2861399143881</c:v>
                </c:pt>
                <c:pt idx="29">
                  <c:v>39.2861399143881</c:v>
                </c:pt>
                <c:pt idx="30">
                  <c:v>39.2861399143881</c:v>
                </c:pt>
                <c:pt idx="31">
                  <c:v>39.2861399143881</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48"/>
          <c:min val="30"/>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6"/>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年全国城市人均公园绿地面积</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27361111111111"/>
          <c:y val="0.0102006120367222"/>
        </c:manualLayout>
      </c:layout>
      <c:overlay val="0"/>
      <c:spPr>
        <a:noFill/>
        <a:ln>
          <a:noFill/>
        </a:ln>
        <a:effectLst/>
      </c:spPr>
    </c:title>
    <c:autoTitleDeleted val="0"/>
    <c:plotArea>
      <c:layout>
        <c:manualLayout>
          <c:layoutTarget val="inner"/>
          <c:xMode val="edge"/>
          <c:yMode val="edge"/>
          <c:x val="0.0836199836199836"/>
          <c:y val="0.265990912268438"/>
          <c:w val="0.912148512148512"/>
          <c:h val="0.586648025166026"/>
        </c:manualLayout>
      </c:layout>
      <c:barChart>
        <c:barDir val="col"/>
        <c:grouping val="clustered"/>
        <c:varyColors val="0"/>
        <c:ser>
          <c:idx val="1"/>
          <c:order val="0"/>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'[22年公报图表四五六部分 0915.xlsx]第六部分-人均公园绿地面积'!$A$5:$A$14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'[22年公报图表四五六部分 0915.xlsx]第六部分-人均公园绿地面积'!$B$5:$B$14</c:f>
              <c:numCache>
                <c:formatCode>0.00_);[Red]\(0.00\)</c:formatCode>
                <c:ptCount val="10"/>
                <c:pt idx="0">
                  <c:v>12.64</c:v>
                </c:pt>
                <c:pt idx="1">
                  <c:v>13.08</c:v>
                </c:pt>
                <c:pt idx="2">
                  <c:v>13.35</c:v>
                </c:pt>
                <c:pt idx="3">
                  <c:v>13.7</c:v>
                </c:pt>
                <c:pt idx="4">
                  <c:v>14.01</c:v>
                </c:pt>
                <c:pt idx="5">
                  <c:v>14.11</c:v>
                </c:pt>
                <c:pt idx="6">
                  <c:v>14.3552587740349</c:v>
                </c:pt>
                <c:pt idx="7">
                  <c:v>14.7762910999958</c:v>
                </c:pt>
                <c:pt idx="8">
                  <c:v>14.87</c:v>
                </c:pt>
                <c:pt idx="9">
                  <c:v>15.2921919927752</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ax val="16"/>
          <c:min val="1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平方米</a:t>
                </a:r>
              </a:p>
            </c:rich>
          </c:tx>
          <c:layout>
            <c:manualLayout>
              <c:xMode val="edge"/>
              <c:yMode val="edge"/>
              <c:x val="0.0040950040950041"/>
              <c:y val="0.421317654918553"/>
            </c:manualLayout>
          </c:layout>
          <c:overlay val="0"/>
          <c:spPr>
            <a:noFill/>
            <a:ln>
              <a:noFill/>
            </a:ln>
            <a:effectLst/>
          </c:spPr>
        </c:title>
        <c:numFmt formatCode="General"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年全国分省（区、市）和新疆兵团城市人均公园绿地面积</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8331191004354"/>
          <c:y val="0.00832408435072142"/>
        </c:manualLayout>
      </c:layout>
      <c:overlay val="0"/>
      <c:spPr>
        <a:noFill/>
        <a:ln>
          <a:noFill/>
        </a:ln>
        <a:effectLst/>
      </c:spPr>
    </c:title>
    <c:autoTitleDeleted val="0"/>
    <c:plotArea>
      <c:layout>
        <c:manualLayout>
          <c:layoutTarget val="inner"/>
          <c:xMode val="edge"/>
          <c:yMode val="edge"/>
          <c:x val="0.0840539083557952"/>
          <c:y val="0.255746290369508"/>
          <c:w val="0.890501347708895"/>
          <c:h val="0.472912423625255"/>
        </c:manualLayout>
      </c:layout>
      <c:barChart>
        <c:barDir val="col"/>
        <c:grouping val="clustered"/>
        <c:varyColors val="0"/>
        <c:ser>
          <c:idx val="0"/>
          <c:order val="0"/>
          <c:tx>
            <c:strRef>
              <c:f>"城市人均公园绿地面积"</c:f>
              <c:strCache>
                <c:ptCount val="1"/>
                <c:pt idx="0">
                  <c:v>城市人均公园绿地面积</c:v>
                </c:pt>
              </c:strCache>
            </c:strRef>
          </c:tx>
          <c:spPr>
            <a:solidFill>
              <a:srgbClr val="C00000"/>
            </a:solidFill>
            <a:ln>
              <a:noFill/>
            </a:ln>
            <a:effectLst/>
          </c:spPr>
          <c:invertIfNegative val="0"/>
          <c:dLbls>
            <c:dLbl>
              <c:idx val="0"/>
              <c:layout>
                <c:manualLayout>
                  <c:x val="0.00807131670883026"/>
                  <c:y val="-0.003750426184793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807131670883026"/>
                  <c:y val="0.003750426184793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00662570774605469"/>
                  <c:y val="-0.003750426184793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0"/>
              <c:layout>
                <c:manualLayout>
                  <c:x val="0.0039754246476328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1"/>
              <c:layout>
                <c:manualLayout>
                  <c:x val="0"/>
                  <c:y val="-0.0075008523695874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_);[Red]\(#,##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'[22年公报图表四五六部分.xlsx]第六部分-人均公园绿地面积'!$B$23:$B$54</c:f>
              <c:numCache>
                <c:formatCode>#,##0.00</c:formatCode>
                <c:ptCount val="32"/>
                <c:pt idx="0">
                  <c:v>16.63</c:v>
                </c:pt>
                <c:pt idx="1">
                  <c:v>9.98221659037817</c:v>
                </c:pt>
                <c:pt idx="2">
                  <c:v>15.3537863632055</c:v>
                </c:pt>
                <c:pt idx="3">
                  <c:v>13.7172342137539</c:v>
                </c:pt>
                <c:pt idx="4">
                  <c:v>19.471210566812</c:v>
                </c:pt>
                <c:pt idx="5">
                  <c:v>13.3874538902931</c:v>
                </c:pt>
                <c:pt idx="6">
                  <c:v>14.4456957561915</c:v>
                </c:pt>
                <c:pt idx="7">
                  <c:v>14.0435395298835</c:v>
                </c:pt>
                <c:pt idx="8">
                  <c:v>9.28001647892273</c:v>
                </c:pt>
                <c:pt idx="9">
                  <c:v>16.023678856853</c:v>
                </c:pt>
                <c:pt idx="10">
                  <c:v>13.7855929052341</c:v>
                </c:pt>
                <c:pt idx="11">
                  <c:v>16.9777028858398</c:v>
                </c:pt>
                <c:pt idx="12">
                  <c:v>15.2773390177218</c:v>
                </c:pt>
                <c:pt idx="13">
                  <c:v>17.0054628648413</c:v>
                </c:pt>
                <c:pt idx="14">
                  <c:v>18.1830750762021</c:v>
                </c:pt>
                <c:pt idx="15">
                  <c:v>15.6049416388673</c:v>
                </c:pt>
                <c:pt idx="16">
                  <c:v>15.3774681796892</c:v>
                </c:pt>
                <c:pt idx="17">
                  <c:v>13.0560042497009</c:v>
                </c:pt>
                <c:pt idx="18">
                  <c:v>17.945468256444</c:v>
                </c:pt>
                <c:pt idx="19">
                  <c:v>11.6711416942139</c:v>
                </c:pt>
                <c:pt idx="20">
                  <c:v>12.2298712600906</c:v>
                </c:pt>
                <c:pt idx="21">
                  <c:v>17.629743431221</c:v>
                </c:pt>
                <c:pt idx="22">
                  <c:v>13.9903351563771</c:v>
                </c:pt>
                <c:pt idx="23">
                  <c:v>16.4111864481162</c:v>
                </c:pt>
                <c:pt idx="24">
                  <c:v>13.9416982112373</c:v>
                </c:pt>
                <c:pt idx="25">
                  <c:v>16.2276897414512</c:v>
                </c:pt>
                <c:pt idx="26">
                  <c:v>13.1504898277254</c:v>
                </c:pt>
                <c:pt idx="27">
                  <c:v>16.3623288072106</c:v>
                </c:pt>
                <c:pt idx="28">
                  <c:v>13.24315725448</c:v>
                </c:pt>
                <c:pt idx="29">
                  <c:v>22.8363501283264</c:v>
                </c:pt>
                <c:pt idx="30">
                  <c:v>14.9277848492988</c:v>
                </c:pt>
                <c:pt idx="31">
                  <c:v>26.356645254682</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"全国城市人均公园绿地面积15.29平方米"</c:f>
              <c:strCache>
                <c:ptCount val="1"/>
                <c:pt idx="0">
                  <c:v>全国城市人均公园绿地面积15.29平方米</c:v>
                </c:pt>
              </c:strCache>
            </c:strRef>
          </c:tx>
          <c:spPr>
            <a:ln w="15875" cap="rnd">
              <a:solidFill>
                <a:srgbClr val="002060"/>
              </a:solidFill>
              <a:prstDash val="dash"/>
              <a:round/>
            </a:ln>
            <a:effectLst/>
            <a:sp3d contourW="15875"/>
          </c:spPr>
          <c:marker>
            <c:symbol val="none"/>
          </c:marker>
          <c:dLbls>
            <c:delete val="1"/>
          </c:dLbls>
          <c:cat>
            <c:strRef>
              <c:f>'[22年公报图表四五六部分.xlsx]第六部分-建成区绿地面积'!$A$32:$A$63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'[22年公报图表四五六部分.xlsx]第六部分-人均公园绿地面积'!$C$23:$C$54</c:f>
              <c:numCache>
                <c:formatCode>#,##0.00</c:formatCode>
                <c:ptCount val="32"/>
                <c:pt idx="0">
                  <c:v>15.2921919927752</c:v>
                </c:pt>
                <c:pt idx="1">
                  <c:v>15.2921919927752</c:v>
                </c:pt>
                <c:pt idx="2">
                  <c:v>15.2921919927752</c:v>
                </c:pt>
                <c:pt idx="3">
                  <c:v>15.2921919927752</c:v>
                </c:pt>
                <c:pt idx="4">
                  <c:v>15.2921919927752</c:v>
                </c:pt>
                <c:pt idx="5">
                  <c:v>15.2921919927752</c:v>
                </c:pt>
                <c:pt idx="6">
                  <c:v>15.2921919927752</c:v>
                </c:pt>
                <c:pt idx="7">
                  <c:v>15.2921919927752</c:v>
                </c:pt>
                <c:pt idx="8">
                  <c:v>15.2921919927752</c:v>
                </c:pt>
                <c:pt idx="9">
                  <c:v>15.2921919927752</c:v>
                </c:pt>
                <c:pt idx="10">
                  <c:v>15.2921919927752</c:v>
                </c:pt>
                <c:pt idx="11">
                  <c:v>15.2921919927752</c:v>
                </c:pt>
                <c:pt idx="12">
                  <c:v>15.2921919927752</c:v>
                </c:pt>
                <c:pt idx="13">
                  <c:v>15.2921919927752</c:v>
                </c:pt>
                <c:pt idx="14">
                  <c:v>15.2921919927752</c:v>
                </c:pt>
                <c:pt idx="15">
                  <c:v>15.2921919927752</c:v>
                </c:pt>
                <c:pt idx="16">
                  <c:v>15.2921919927752</c:v>
                </c:pt>
                <c:pt idx="17">
                  <c:v>15.2921919927752</c:v>
                </c:pt>
                <c:pt idx="18">
                  <c:v>15.2921919927752</c:v>
                </c:pt>
                <c:pt idx="19">
                  <c:v>15.2921919927752</c:v>
                </c:pt>
                <c:pt idx="20">
                  <c:v>15.2921919927752</c:v>
                </c:pt>
                <c:pt idx="21">
                  <c:v>15.2921919927752</c:v>
                </c:pt>
                <c:pt idx="22">
                  <c:v>15.2921919927752</c:v>
                </c:pt>
                <c:pt idx="23">
                  <c:v>15.2921919927752</c:v>
                </c:pt>
                <c:pt idx="24">
                  <c:v>15.2921919927752</c:v>
                </c:pt>
                <c:pt idx="25">
                  <c:v>15.2921919927752</c:v>
                </c:pt>
                <c:pt idx="26">
                  <c:v>15.2921919927752</c:v>
                </c:pt>
                <c:pt idx="27">
                  <c:v>15.2921919927752</c:v>
                </c:pt>
                <c:pt idx="28">
                  <c:v>15.2921919927752</c:v>
                </c:pt>
                <c:pt idx="29">
                  <c:v>15.2921919927752</c:v>
                </c:pt>
                <c:pt idx="30">
                  <c:v>15.2921919927752</c:v>
                </c:pt>
                <c:pt idx="31">
                  <c:v>15.2921919927752</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30"/>
          <c:min val="5"/>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平方米</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5"/>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年全国市政设施固定资产投资及同比变化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87412008649147"/>
          <c:y val="0.00958772770853308"/>
        </c:manualLayout>
      </c:layout>
      <c:overlay val="0"/>
      <c:spPr>
        <a:noFill/>
        <a:ln>
          <a:noFill/>
        </a:ln>
        <a:effectLst/>
      </c:spPr>
    </c:title>
    <c:autoTitleDeleted val="0"/>
    <c:plotArea>
      <c:layout>
        <c:manualLayout>
          <c:layoutTarget val="inner"/>
          <c:xMode val="edge"/>
          <c:yMode val="edge"/>
          <c:x val="0.0633530106257379"/>
          <c:y val="0.194311281559604"/>
          <c:w val="0.837638724911452"/>
          <c:h val="0.674145094279322"/>
        </c:manualLayout>
      </c:layout>
      <c:barChart>
        <c:barDir val="col"/>
        <c:grouping val="clustered"/>
        <c:varyColors val="0"/>
        <c:ser>
          <c:idx val="1"/>
          <c:order val="0"/>
          <c:tx>
            <c:strRef>
              <c:f>"市政设施投资"</c:f>
              <c:strCache>
                <c:ptCount val="1"/>
                <c:pt idx="0">
                  <c:v>市政设施投资</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'[22公报数据-前三部分0915.xlsx]市政投资'!$A$5:$A$14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'[22公报数据-前三部分0915.xlsx]市政投资'!$D$5:$D$14</c:f>
              <c:numCache>
                <c:formatCode>0.00_ </c:formatCode>
                <c:ptCount val="10"/>
                <c:pt idx="0">
                  <c:v>2.01834</c:v>
                </c:pt>
                <c:pt idx="1">
                  <c:v>1.98179467</c:v>
                </c:pt>
                <c:pt idx="2">
                  <c:v>1.93042546</c:v>
                </c:pt>
                <c:pt idx="3">
                  <c:v>2.0854515161</c:v>
                </c:pt>
                <c:pt idx="4">
                  <c:v>2.29617956</c:v>
                </c:pt>
                <c:pt idx="5">
                  <c:v>2.3149144582</c:v>
                </c:pt>
                <c:pt idx="6">
                  <c:v>2.3203031012</c:v>
                </c:pt>
                <c:pt idx="7">
                  <c:v>2.61682123545591</c:v>
                </c:pt>
                <c:pt idx="8">
                  <c:v>2.74588662</c:v>
                </c:pt>
                <c:pt idx="9">
                  <c:v>2.660061738</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'[22公报数据-前三部分0915.xlsx]市政投资'!$A$5:$A$14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'[22公报数据-前三部分0915.xlsx]市政投资'!$E$5:$E$14</c:f>
              <c:numCache>
                <c:formatCode>0.00%</c:formatCode>
                <c:ptCount val="10"/>
                <c:pt idx="0">
                  <c:v>0.0467971225708075</c:v>
                </c:pt>
                <c:pt idx="1">
                  <c:v>-0.0181066272283162</c:v>
                </c:pt>
                <c:pt idx="2">
                  <c:v>-0.025920551093217</c:v>
                </c:pt>
                <c:pt idx="3">
                  <c:v>0.0803066781454489</c:v>
                </c:pt>
                <c:pt idx="4">
                  <c:v>0.101046724065819</c:v>
                </c:pt>
                <c:pt idx="5">
                  <c:v>0.00815916077573653</c:v>
                </c:pt>
                <c:pt idx="6">
                  <c:v>0.00232779357393187</c:v>
                </c:pt>
                <c:pt idx="7">
                  <c:v>0.127792844866931</c:v>
                </c:pt>
                <c:pt idx="8">
                  <c:v>0.0493214373207285</c:v>
                </c:pt>
                <c:pt idx="9">
                  <c:v>-0.0312557996294835</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万亿元</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58681879361791"/>
          <c:y val="0.1148377291711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年全国市政设施固定资产投资构成情况</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6412314824606"/>
          <c:y val="0.00799334394835779"/>
        </c:manualLayout>
      </c:layout>
      <c:overlay val="0"/>
      <c:spPr>
        <a:noFill/>
        <a:ln>
          <a:noFill/>
        </a:ln>
        <a:effectLst/>
      </c:spPr>
    </c:title>
    <c:autoTitleDeleted val="0"/>
    <c:plotArea>
      <c:layout>
        <c:manualLayout>
          <c:layoutTarget val="inner"/>
          <c:xMode val="edge"/>
          <c:yMode val="edge"/>
          <c:x val="0.222816744838636"/>
          <c:y val="0.184627575277338"/>
          <c:w val="0.426055359011189"/>
          <c:h val="0.653177976106892"/>
        </c:manualLayout>
      </c:layout>
      <c:pieChart>
        <c:varyColors val="1"/>
        <c:ser>
          <c:idx val="0"/>
          <c:order val="0"/>
          <c:spPr>
            <a:solidFill>
              <a:srgbClr val="EBF5F9"/>
            </a:solidFill>
            <a:ln w="3175">
              <a:solidFill>
                <a:schemeClr val="tx1"/>
              </a:solidFill>
            </a:ln>
          </c:spPr>
          <c:explosion val="0"/>
          <c:dPt>
            <c:idx val="0"/>
            <c:bubble3D val="0"/>
            <c:spPr>
              <a:solidFill>
                <a:srgbClr val="C5E0B4"/>
              </a:solidFill>
              <a:ln w="3175">
                <a:solidFill>
                  <a:schemeClr val="tx1"/>
                </a:solidFill>
              </a:ln>
              <a:effectLst/>
            </c:spPr>
          </c:dPt>
          <c:dPt>
            <c:idx val="1"/>
            <c:bubble3D val="0"/>
            <c:spPr>
              <a:solidFill>
                <a:srgbClr val="385723"/>
              </a:solidFill>
              <a:ln w="3175">
                <a:solidFill>
                  <a:schemeClr val="tx1"/>
                </a:solidFill>
              </a:ln>
              <a:effectLst/>
            </c:spPr>
          </c:dPt>
          <c:dPt>
            <c:idx val="2"/>
            <c:bubble3D val="0"/>
            <c:spPr>
              <a:solidFill>
                <a:srgbClr val="E2F0D9"/>
              </a:solidFill>
              <a:ln w="3175">
                <a:solidFill>
                  <a:schemeClr val="tx1"/>
                </a:solidFill>
              </a:ln>
              <a:effectLst/>
            </c:spPr>
          </c:dPt>
          <c:dPt>
            <c:idx val="3"/>
            <c:bubble3D val="0"/>
            <c:spPr>
              <a:solidFill>
                <a:srgbClr val="27918B"/>
              </a:solidFill>
              <a:ln w="3175">
                <a:solidFill>
                  <a:schemeClr val="tx1"/>
                </a:solidFill>
              </a:ln>
              <a:effectLst/>
            </c:spPr>
          </c:dPt>
          <c:dPt>
            <c:idx val="4"/>
            <c:bubble3D val="0"/>
            <c:spPr>
              <a:solidFill>
                <a:srgbClr val="F8CBAD"/>
              </a:solidFill>
              <a:ln w="3175">
                <a:solidFill>
                  <a:schemeClr val="tx1"/>
                </a:solidFill>
              </a:ln>
              <a:effectLst/>
            </c:spPr>
          </c:dPt>
          <c:dPt>
            <c:idx val="5"/>
            <c:bubble3D val="0"/>
            <c:spPr>
              <a:solidFill>
                <a:srgbClr val="ED7D31"/>
              </a:solidFill>
              <a:ln w="3175">
                <a:solidFill>
                  <a:schemeClr val="tx1"/>
                </a:solidFill>
              </a:ln>
              <a:effectLst/>
            </c:spPr>
          </c:dPt>
          <c:dPt>
            <c:idx val="6"/>
            <c:bubble3D val="0"/>
            <c:spPr>
              <a:solidFill>
                <a:srgbClr val="FFF2CC"/>
              </a:solidFill>
              <a:ln w="3175">
                <a:solidFill>
                  <a:schemeClr val="tx1"/>
                </a:solidFill>
              </a:ln>
              <a:effectLst/>
            </c:spPr>
          </c:dPt>
          <c:dPt>
            <c:idx val="7"/>
            <c:bubble3D val="0"/>
            <c:spPr>
              <a:solidFill>
                <a:srgbClr val="EBF5E5"/>
              </a:solidFill>
              <a:ln w="3175">
                <a:solidFill>
                  <a:schemeClr val="tx1"/>
                </a:solidFill>
              </a:ln>
              <a:effectLst/>
            </c:spPr>
          </c:dPt>
          <c:dPt>
            <c:idx val="8"/>
            <c:bubble3D val="0"/>
            <c:spPr>
              <a:solidFill>
                <a:srgbClr val="548235"/>
              </a:solidFill>
              <a:ln w="3175">
                <a:solidFill>
                  <a:schemeClr val="tx1"/>
                </a:solidFill>
              </a:ln>
              <a:effectLst/>
            </c:spPr>
          </c:dPt>
          <c:dPt>
            <c:idx val="9"/>
            <c:bubble3D val="0"/>
            <c:spPr>
              <a:solidFill>
                <a:srgbClr val="A2E6E3"/>
              </a:solidFill>
              <a:ln w="3175">
                <a:solidFill>
                  <a:schemeClr val="tx1"/>
                </a:solidFill>
              </a:ln>
              <a:effectLst/>
            </c:spPr>
          </c:dPt>
          <c:dLbls>
            <c:dLbl>
              <c:idx val="0"/>
              <c:layout>
                <c:manualLayout>
                  <c:x val="0.105611117255949"/>
                  <c:y val="-0.017412633638348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53198671929557"/>
                      <c:h val="0.152576278143683"/>
                    </c:manualLayout>
                  </c15:layout>
                </c:ext>
              </c:extLst>
            </c:dLbl>
            <c:dLbl>
              <c:idx val="1"/>
              <c:layout>
                <c:manualLayout>
                  <c:x val="0.0833015365222643"/>
                  <c:y val="0.10153948978204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04083796771395"/>
                  <c:y val="0.076418423394176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34370951937101"/>
                  <c:y val="-0.022671286885619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202955493889173"/>
                  <c:y val="-0.016438525012283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3766524797259"/>
                      <c:h val="0.143904945185288"/>
                    </c:manualLayout>
                  </c15:layout>
                </c:ext>
              </c:extLst>
            </c:dLbl>
            <c:dLbl>
              <c:idx val="5"/>
              <c:layout>
                <c:manualLayout>
                  <c:x val="-0.0303362999684351"/>
                  <c:y val="0.054294215388642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18237971391417"/>
                      <c:h val="0.178137651821862"/>
                    </c:manualLayout>
                  </c15:layout>
                </c:ext>
              </c:extLst>
            </c:dLbl>
            <c:dLbl>
              <c:idx val="6"/>
              <c:layout>
                <c:manualLayout>
                  <c:x val="0.144136803002555"/>
                  <c:y val="-0.011939726242002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079299586447769"/>
                  <c:y val="-0.044418049413510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064265910020212"/>
                  <c:y val="0.0091978741260595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53250833840022"/>
                      <c:h val="0.187466580669323"/>
                    </c:manualLayout>
                  </c15:layout>
                </c:ext>
              </c:extLst>
            </c:dLbl>
            <c:dLbl>
              <c:idx val="9"/>
              <c:layout>
                <c:manualLayout>
                  <c:x val="0.104920313809982"/>
                  <c:y val="-0.016117231250649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'[22公报数据-前三部分.xlsx]市政投资'!$C$67:$L$68</c:f>
              <c:multiLvlStrCache>
                <c:ptCount val="10"/>
                <c:lvl/>
                <c:lvl>
                  <c:pt idx="0">
                    <c:v>供水</c:v>
                  </c:pt>
                  <c:pt idx="1">
                    <c:v>燃气</c:v>
                  </c:pt>
                  <c:pt idx="2">
                    <c:v>集中供热</c:v>
                  </c:pt>
                  <c:pt idx="3">
                    <c:v>轨道交通</c:v>
                  </c:pt>
                  <c:pt idx="4">
                    <c:v>道路桥梁</c:v>
                  </c:pt>
                  <c:pt idx="5">
                    <c:v>地下综合管廊</c:v>
                  </c:pt>
                  <c:pt idx="6">
                    <c:v>排水</c:v>
                  </c:pt>
                  <c:pt idx="7">
                    <c:v>园林绿化</c:v>
                  </c:pt>
                  <c:pt idx="8">
                    <c:v>市容环境    卫生</c:v>
                  </c:pt>
                  <c:pt idx="9">
                    <c:v>其他</c:v>
                  </c:pt>
                </c:lvl>
              </c:multiLvlStrCache>
            </c:multiLvlStrRef>
          </c:cat>
          <c:val>
            <c:numRef>
              <c:f>'[22公报数据-前三部分.xlsx]市政投资'!$C$71:$L$71</c:f>
              <c:numCache>
                <c:formatCode>0_ </c:formatCode>
                <c:ptCount val="10"/>
                <c:pt idx="0">
                  <c:v>1002.7092</c:v>
                </c:pt>
                <c:pt idx="1">
                  <c:v>370.5109</c:v>
                </c:pt>
                <c:pt idx="2">
                  <c:v>517.0758</c:v>
                </c:pt>
                <c:pt idx="3">
                  <c:v>6040.4864</c:v>
                </c:pt>
                <c:pt idx="4">
                  <c:v>10226.5462</c:v>
                </c:pt>
                <c:pt idx="5">
                  <c:v>340.8441</c:v>
                </c:pt>
                <c:pt idx="6">
                  <c:v>2676.8035</c:v>
                </c:pt>
                <c:pt idx="7">
                  <c:v>1700.1551</c:v>
                </c:pt>
                <c:pt idx="8">
                  <c:v>707.46428</c:v>
                </c:pt>
                <c:pt idx="9">
                  <c:v>3018.0219</c:v>
                </c:pt>
              </c:numCache>
            </c:numRef>
          </c:val>
        </c:ser>
        <c:dLbls>
          <c:showLegendKey val="0"/>
          <c:showVal val="0"/>
          <c:showCatName val="0"/>
          <c:showSerName val="0"/>
          <c:showPercent val="0"/>
          <c:showBubbleSize val="0"/>
          <c:showLeaderLines val="1"/>
        </c:dLbls>
        <c:firstSliceAng val="127"/>
      </c:pieChart>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mn-lt"/>
                <a:ea typeface="+mn-ea"/>
                <a:cs typeface="+mn-cs"/>
              </a:defRPr>
            </a:pPr>
            <a:r>
              <a:rPr lang="en-US" altLang="zh-CN" sz="1200">
                <a:solidFill>
                  <a:sysClr val="windowText" lastClr="000000"/>
                </a:solidFill>
              </a:rPr>
              <a:t>2022</a:t>
            </a:r>
            <a:r>
              <a:rPr altLang="en-US" sz="1200">
                <a:solidFill>
                  <a:sysClr val="windowText" lastClr="000000"/>
                </a:solidFill>
              </a:rPr>
              <a:t>年全国分省（区、市）和新疆兵团市政设施固定资产投资</a:t>
            </a:r>
            <a:endParaRPr lang="en-US" altLang="zh-CN" sz="1200">
              <a:solidFill>
                <a:sysClr val="windowText" lastClr="000000"/>
              </a:solidFill>
            </a:endParaRPr>
          </a:p>
        </c:rich>
      </c:tx>
      <c:layout>
        <c:manualLayout>
          <c:xMode val="edge"/>
          <c:yMode val="edge"/>
          <c:x val="0.14472371799831"/>
          <c:y val="0.00907715582450832"/>
        </c:manualLayout>
      </c:layout>
      <c:overlay val="0"/>
      <c:spPr>
        <a:noFill/>
        <a:ln>
          <a:noFill/>
        </a:ln>
        <a:effectLst/>
      </c:spPr>
    </c:title>
    <c:autoTitleDeleted val="0"/>
    <c:plotArea>
      <c:layout>
        <c:manualLayout>
          <c:layoutTarget val="inner"/>
          <c:xMode val="edge"/>
          <c:yMode val="edge"/>
          <c:x val="0.0954824719913264"/>
          <c:y val="0.188502269288956"/>
          <c:w val="0.878978436332972"/>
          <c:h val="0.53446293494705"/>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'[22公报数据-前三部分.xlsx]市政投资'!$A$32:$A$63</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'[22公报数据-前三部分.xlsx]市政投资'!$D$32:$D$63</c:f>
              <c:numCache>
                <c:formatCode>0_ </c:formatCode>
                <c:ptCount val="32"/>
                <c:pt idx="0">
                  <c:v>1290.1497</c:v>
                </c:pt>
                <c:pt idx="1">
                  <c:v>459.0015</c:v>
                </c:pt>
                <c:pt idx="2">
                  <c:v>978.5898</c:v>
                </c:pt>
                <c:pt idx="3">
                  <c:v>530.4278</c:v>
                </c:pt>
                <c:pt idx="4">
                  <c:v>255.5684</c:v>
                </c:pt>
                <c:pt idx="5">
                  <c:v>404.5386</c:v>
                </c:pt>
                <c:pt idx="6">
                  <c:v>380.5747</c:v>
                </c:pt>
                <c:pt idx="7">
                  <c:v>278.0285</c:v>
                </c:pt>
                <c:pt idx="8">
                  <c:v>586.3849</c:v>
                </c:pt>
                <c:pt idx="9">
                  <c:v>2068.8251</c:v>
                </c:pt>
                <c:pt idx="10">
                  <c:v>2046.1625</c:v>
                </c:pt>
                <c:pt idx="11">
                  <c:v>1355.7342</c:v>
                </c:pt>
                <c:pt idx="12">
                  <c:v>823.0111</c:v>
                </c:pt>
                <c:pt idx="13">
                  <c:v>1017.289</c:v>
                </c:pt>
                <c:pt idx="14">
                  <c:v>1694.9973</c:v>
                </c:pt>
                <c:pt idx="15">
                  <c:v>997.76408</c:v>
                </c:pt>
                <c:pt idx="16">
                  <c:v>1739.4825</c:v>
                </c:pt>
                <c:pt idx="17">
                  <c:v>871.7906</c:v>
                </c:pt>
                <c:pt idx="18">
                  <c:v>1860.518</c:v>
                </c:pt>
                <c:pt idx="19">
                  <c:v>378.6561</c:v>
                </c:pt>
                <c:pt idx="20">
                  <c:v>122.7457</c:v>
                </c:pt>
                <c:pt idx="21">
                  <c:v>1258.2413</c:v>
                </c:pt>
                <c:pt idx="22">
                  <c:v>2064.7175</c:v>
                </c:pt>
                <c:pt idx="23">
                  <c:v>904.2381</c:v>
                </c:pt>
                <c:pt idx="24">
                  <c:v>371.6491</c:v>
                </c:pt>
                <c:pt idx="25">
                  <c:v>25.6154</c:v>
                </c:pt>
                <c:pt idx="26">
                  <c:v>1127.0836</c:v>
                </c:pt>
                <c:pt idx="27">
                  <c:v>318.272</c:v>
                </c:pt>
                <c:pt idx="28">
                  <c:v>42.5019</c:v>
                </c:pt>
                <c:pt idx="29">
                  <c:v>43.2895</c:v>
                </c:pt>
                <c:pt idx="30">
                  <c:v>268.5419</c:v>
                </c:pt>
                <c:pt idx="31">
                  <c:v>36.227</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mn-lt"/>
                    <a:ea typeface="+mn-ea"/>
                    <a:cs typeface="+mn-cs"/>
                  </a:defRPr>
                </a:pPr>
                <a:r>
                  <a:t>亿元</a:t>
                </a:r>
                <a:r>
                  <a:rPr lang="en-US" altLang="zh-CN"/>
                  <a:t> </a:t>
                </a:r>
                <a:endParaRPr lang="en-US" altLang="zh-CN"/>
              </a:p>
            </c:rich>
          </c:tx>
          <c:layout>
            <c:manualLayout>
              <c:xMode val="edge"/>
              <c:yMode val="edge"/>
              <c:x val="0.00361402240693892"/>
              <c:y val="0.393555219364599"/>
            </c:manualLayout>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2013—2022</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年市政设施实际到位资金合计及同比变化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5092815122676"/>
          <c:y val="0.00892591490627789"/>
        </c:manualLayout>
      </c:layout>
      <c:overlay val="0"/>
      <c:spPr>
        <a:noFill/>
        <a:ln>
          <a:noFill/>
        </a:ln>
        <a:effectLst/>
      </c:spPr>
    </c:title>
    <c:autoTitleDeleted val="0"/>
    <c:plotArea>
      <c:layout>
        <c:manualLayout>
          <c:layoutTarget val="inner"/>
          <c:xMode val="edge"/>
          <c:yMode val="edge"/>
          <c:x val="0.0755602149128555"/>
          <c:y val="0.216599190283401"/>
          <c:w val="0.825422618267593"/>
          <c:h val="0.664372469635628"/>
        </c:manualLayout>
      </c:layout>
      <c:barChart>
        <c:barDir val="col"/>
        <c:grouping val="clustered"/>
        <c:varyColors val="0"/>
        <c:ser>
          <c:idx val="1"/>
          <c:order val="0"/>
          <c:tx>
            <c:strRef>
              <c:f>"实际到位资金合计"</c:f>
              <c:strCache>
                <c:ptCount val="1"/>
                <c:pt idx="0">
                  <c:v>实际到位资金合计</c:v>
                </c:pt>
              </c:strCache>
            </c:strRef>
          </c:tx>
          <c:spPr>
            <a:solidFill>
              <a:srgbClr val="C00000"/>
            </a:solidFill>
            <a:ln>
              <a:noFill/>
            </a:ln>
            <a:effectLst/>
          </c:spPr>
          <c:invertIfNegative val="0"/>
          <c:dLbls>
            <c:dLbl>
              <c:idx val="6"/>
              <c:layout>
                <c:manualLayout>
                  <c:x val="-0.00288297732931464"/>
                  <c:y val="-0.01908617698091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0820886520501487"/>
                  <c:y val="-0.040613945318059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361402240693892"/>
                  <c:y val="0.020827134781315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'[22公报数据-前三部分0915.xlsx]资金来源'!$A$5:$A$14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'[22公报数据-前三部分0915.xlsx]资金来源'!$D$5:$D$14</c:f>
              <c:numCache>
                <c:formatCode>0.00_ </c:formatCode>
                <c:ptCount val="10"/>
                <c:pt idx="0">
                  <c:v>1.98049</c:v>
                </c:pt>
                <c:pt idx="1">
                  <c:v>1.97444174</c:v>
                </c:pt>
                <c:pt idx="2">
                  <c:v>1.95819066</c:v>
                </c:pt>
                <c:pt idx="3">
                  <c:v>2.05100342</c:v>
                </c:pt>
                <c:pt idx="4">
                  <c:v>2.3315525</c:v>
                </c:pt>
                <c:pt idx="5">
                  <c:v>2.2307056006</c:v>
                </c:pt>
                <c:pt idx="6">
                  <c:v>2.4339268412</c:v>
                </c:pt>
                <c:pt idx="7">
                  <c:v>2.76366577606218</c:v>
                </c:pt>
                <c:pt idx="8">
                  <c:v>3.070765315</c:v>
                </c:pt>
                <c:pt idx="9">
                  <c:v>2.674325806</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'[22公报数据-前三部分0915.xlsx]资金来源'!$A$5:$A$14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'[22公报数据-前三部分0915.xlsx]资金来源'!$E$5:$E$14</c:f>
              <c:numCache>
                <c:formatCode>0.00%</c:formatCode>
                <c:ptCount val="10"/>
                <c:pt idx="0">
                  <c:v>0.0340958338337189</c:v>
                </c:pt>
                <c:pt idx="1">
                  <c:v>-0.00305392099934865</c:v>
                </c:pt>
                <c:pt idx="2">
                  <c:v>-0.00823072145952508</c:v>
                </c:pt>
                <c:pt idx="3">
                  <c:v>0.0473972028852387</c:v>
                </c:pt>
                <c:pt idx="4">
                  <c:v>0.13678625655339</c:v>
                </c:pt>
                <c:pt idx="5">
                  <c:v>-0.0432531111351772</c:v>
                </c:pt>
                <c:pt idx="6">
                  <c:v>0.0911017753957937</c:v>
                </c:pt>
                <c:pt idx="7">
                  <c:v>0.135476107695829</c:v>
                </c:pt>
                <c:pt idx="8">
                  <c:v>0.111120361079042</c:v>
                </c:pt>
                <c:pt idx="9">
                  <c:v>-0.129101207136697</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万亿元</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94874242854439"/>
          <c:y val="0.11943225336505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lang="en-US" altLang="zh-CN" sz="1200">
                <a:latin typeface="+mn-ea"/>
                <a:cs typeface="+mn-ea"/>
              </a:rPr>
              <a:t>2022</a:t>
            </a:r>
            <a:r>
              <a:rPr altLang="en-US" sz="1200">
                <a:latin typeface="+mn-ea"/>
                <a:cs typeface="+mn-ea"/>
              </a:rPr>
              <a:t>年全国市政设施实际到位资金来源占比</a:t>
            </a:r>
            <a:r>
              <a:rPr altLang="en-US" sz="1200"/>
              <a:t>情况</a:t>
            </a:r>
            <a:endParaRPr lang="en-US" altLang="en-US" sz="1200"/>
          </a:p>
        </c:rich>
      </c:tx>
      <c:layout>
        <c:manualLayout>
          <c:xMode val="edge"/>
          <c:yMode val="edge"/>
          <c:x val="0.0917712284797195"/>
          <c:y val="0.00800640512409928"/>
        </c:manualLayout>
      </c:layout>
      <c:overlay val="0"/>
      <c:spPr>
        <a:noFill/>
        <a:ln>
          <a:noFill/>
        </a:ln>
        <a:effectLst/>
      </c:spPr>
    </c:title>
    <c:autoTitleDeleted val="0"/>
    <c:plotArea>
      <c:layout>
        <c:manualLayout>
          <c:layoutTarget val="inner"/>
          <c:xMode val="edge"/>
          <c:yMode val="edge"/>
          <c:x val="0.0749644453839866"/>
          <c:y val="0.135763034653347"/>
          <c:w val="0.689688212360375"/>
          <c:h val="0.702206715302007"/>
        </c:manualLayout>
      </c:layout>
      <c:pieChart>
        <c:varyColors val="1"/>
        <c:ser>
          <c:idx val="0"/>
          <c:order val="0"/>
          <c:spPr>
            <a:solidFill>
              <a:srgbClr val="EBF5F9"/>
            </a:solidFill>
            <a:ln w="3175">
              <a:solidFill>
                <a:schemeClr val="tx1"/>
              </a:solidFill>
            </a:ln>
          </c:spPr>
          <c:explosion val="0"/>
          <c:dPt>
            <c:idx val="0"/>
            <c:bubble3D val="0"/>
            <c:spPr>
              <a:solidFill>
                <a:srgbClr val="C5E0B4"/>
              </a:solidFill>
              <a:ln w="3175">
                <a:solidFill>
                  <a:schemeClr val="tx1"/>
                </a:solidFill>
              </a:ln>
              <a:effectLst/>
            </c:spPr>
          </c:dPt>
          <c:dPt>
            <c:idx val="1"/>
            <c:bubble3D val="0"/>
            <c:spPr>
              <a:solidFill>
                <a:srgbClr val="385723"/>
              </a:solidFill>
              <a:ln w="3175">
                <a:solidFill>
                  <a:schemeClr val="tx1"/>
                </a:solidFill>
              </a:ln>
              <a:effectLst/>
            </c:spPr>
          </c:dPt>
          <c:dPt>
            <c:idx val="2"/>
            <c:bubble3D val="0"/>
            <c:spPr>
              <a:solidFill>
                <a:srgbClr val="E2F0D9"/>
              </a:solidFill>
              <a:ln w="3175">
                <a:solidFill>
                  <a:schemeClr val="tx1"/>
                </a:solidFill>
              </a:ln>
              <a:effectLst/>
            </c:spPr>
          </c:dPt>
          <c:dPt>
            <c:idx val="3"/>
            <c:bubble3D val="0"/>
            <c:spPr>
              <a:solidFill>
                <a:srgbClr val="27918B"/>
              </a:solidFill>
              <a:ln w="3175">
                <a:solidFill>
                  <a:schemeClr val="tx1"/>
                </a:solidFill>
              </a:ln>
              <a:effectLst/>
            </c:spPr>
          </c:dPt>
          <c:dPt>
            <c:idx val="4"/>
            <c:bubble3D val="0"/>
            <c:spPr>
              <a:solidFill>
                <a:srgbClr val="F8CBAD"/>
              </a:solidFill>
              <a:ln w="3175">
                <a:solidFill>
                  <a:schemeClr val="tx1"/>
                </a:solidFill>
              </a:ln>
              <a:effectLst/>
            </c:spPr>
          </c:dPt>
          <c:dPt>
            <c:idx val="5"/>
            <c:bubble3D val="0"/>
            <c:spPr>
              <a:solidFill>
                <a:srgbClr val="ED7D31"/>
              </a:solidFill>
              <a:ln w="3175">
                <a:solidFill>
                  <a:schemeClr val="tx1"/>
                </a:solidFill>
              </a:ln>
              <a:effectLst/>
            </c:spPr>
          </c:dPt>
          <c:dLbls>
            <c:dLbl>
              <c:idx val="0"/>
              <c:layout>
                <c:manualLayout>
                  <c:x val="0.145733673427528"/>
                  <c:y val="-0.017412633638348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97782316895244"/>
                      <c:h val="0.19028556178276"/>
                    </c:manualLayout>
                  </c15:layout>
                </c:ext>
              </c:extLst>
            </c:dLbl>
            <c:dLbl>
              <c:idx val="1"/>
              <c:layout>
                <c:manualLayout>
                  <c:x val="0.0251552880614855"/>
                  <c:y val="0.061913738532559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236924809688278"/>
                  <c:y val="0.039145241352283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238851538649145"/>
                  <c:y val="0.0018341038922349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34973109937502"/>
                  <c:y val="0.1032826261008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3766524797259"/>
                      <c:h val="0.143904945185288"/>
                    </c:manualLayout>
                  </c15:layout>
                </c:ext>
              </c:extLst>
            </c:dLbl>
            <c:dLbl>
              <c:idx val="5"/>
              <c:layout>
                <c:manualLayout>
                  <c:x val="-0.0653426994384798"/>
                  <c:y val="-0.028175115308973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18237971391417"/>
                      <c:h val="0.178137651821862"/>
                    </c:manualLayout>
                  </c15:layout>
                </c:ext>
              </c:extLst>
            </c:dLbl>
            <c:numFmt formatCode="0.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Times New Roman" panose="02020603050405020304" charset="0"/>
                  </a:defRPr>
                </a:pPr>
              </a:p>
            </c:txPr>
            <c:dLblPos val="bestFit"/>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'[22公报数据-前三部分(1).xlsx]资金来源'!$E$68:$J$68</c:f>
              <c:strCache>
                <c:ptCount val="6"/>
                <c:pt idx="0">
                  <c:v>国家预算
资金</c:v>
                </c:pt>
                <c:pt idx="1">
                  <c:v>国内贷款</c:v>
                </c:pt>
                <c:pt idx="2">
                  <c:v>债券</c:v>
                </c:pt>
                <c:pt idx="3">
                  <c:v>利用外资</c:v>
                </c:pt>
                <c:pt idx="4">
                  <c:v>自筹资金</c:v>
                </c:pt>
                <c:pt idx="5">
                  <c:v>其他资金</c:v>
                </c:pt>
              </c:strCache>
            </c:strRef>
          </c:cat>
          <c:val>
            <c:numRef>
              <c:f>'[22公报数据-前三部分(1).xlsx]资金来源'!$E$71:$J$71</c:f>
              <c:numCache>
                <c:formatCode>General</c:formatCode>
                <c:ptCount val="6"/>
                <c:pt idx="0">
                  <c:v>7358.91568</c:v>
                </c:pt>
                <c:pt idx="1">
                  <c:v>3063.7446</c:v>
                </c:pt>
                <c:pt idx="2">
                  <c:v>2434.164</c:v>
                </c:pt>
                <c:pt idx="3">
                  <c:v>73.1907</c:v>
                </c:pt>
                <c:pt idx="4">
                  <c:v>6553.40458</c:v>
                </c:pt>
                <c:pt idx="5">
                  <c:v>4956.3705</c:v>
                </c:pt>
              </c:numCache>
            </c:numRef>
          </c:val>
        </c:ser>
        <c:dLbls>
          <c:showLegendKey val="0"/>
          <c:showVal val="0"/>
          <c:showCatName val="0"/>
          <c:showSerName val="0"/>
          <c:showPercent val="0"/>
          <c:showBubbleSize val="0"/>
          <c:showLeaderLines val="1"/>
        </c:dLbls>
        <c:firstSliceAng val="127"/>
      </c:pieChart>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6163</Words>
  <Characters>7005</Characters>
  <Lines>0</Lines>
  <Paragraphs>0</Paragraphs>
  <TotalTime>109</TotalTime>
  <ScaleCrop>false</ScaleCrop>
  <LinksUpToDate>false</LinksUpToDate>
  <CharactersWithSpaces>7076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2022-08-29T05:36:00Z</dcterms:created>
  <dc:creator>86135</dc:creator>
  <cp:lastModifiedBy>や這個娘們，狠敗傢</cp:lastModifiedBy>
  <cp:lastPrinted>2023-09-20T08:37:00Z</cp:lastPrinted>
  <dcterms:modified xsi:type="dcterms:W3CDTF">2023-10-27T02:30:14Z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8D033138C4834AE6AD0B48AD49C31175_13</vt:lpwstr>
  </property>
</Properties>
</file>