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2E0A5" w14:textId="2B535519" w:rsidR="00F90D93" w:rsidRDefault="00E93EF7">
      <w:pPr>
        <w:rPr>
          <w:rFonts w:cs="Tahoma"/>
        </w:rPr>
      </w:pPr>
      <w:r>
        <w:rPr>
          <w:noProof/>
          <w:sz w:val="22"/>
        </w:rPr>
        <mc:AlternateContent>
          <mc:Choice Requires="wps">
            <w:drawing>
              <wp:anchor distT="0" distB="0" distL="114300" distR="114300" simplePos="0" relativeHeight="251712512" behindDoc="0" locked="0" layoutInCell="1" allowOverlap="1" wp14:anchorId="6CA85B5A" wp14:editId="1A7E22F7">
                <wp:simplePos x="0" y="0"/>
                <wp:positionH relativeFrom="column">
                  <wp:posOffset>-810113</wp:posOffset>
                </wp:positionH>
                <wp:positionV relativeFrom="paragraph">
                  <wp:posOffset>-280327</wp:posOffset>
                </wp:positionV>
                <wp:extent cx="4765559" cy="774700"/>
                <wp:effectExtent l="0" t="0" r="0" b="0"/>
                <wp:wrapNone/>
                <wp:docPr id="27" name="文本框 22"/>
                <wp:cNvGraphicFramePr/>
                <a:graphic xmlns:a="http://schemas.openxmlformats.org/drawingml/2006/main">
                  <a:graphicData uri="http://schemas.microsoft.com/office/word/2010/wordprocessingShape">
                    <wps:wsp>
                      <wps:cNvSpPr txBox="1"/>
                      <wps:spPr>
                        <a:xfrm>
                          <a:off x="0" y="0"/>
                          <a:ext cx="4765559" cy="774700"/>
                        </a:xfrm>
                        <a:prstGeom prst="rect">
                          <a:avLst/>
                        </a:prstGeom>
                        <a:noFill/>
                        <a:ln w="6350">
                          <a:noFill/>
                        </a:ln>
                        <a:effectLst/>
                      </wps:spPr>
                      <wps:txbx>
                        <w:txbxContent>
                          <w:p w14:paraId="3945F701" w14:textId="77777777" w:rsidR="007D03A1" w:rsidRDefault="007D03A1">
                            <w:pPr>
                              <w:jc w:val="right"/>
                              <w:rPr>
                                <w:rFonts w:ascii="微软雅黑" w:eastAsia="微软雅黑" w:hAnsi="微软雅黑" w:cs="微软雅黑"/>
                                <w:b/>
                                <w:bCs/>
                                <w:color w:val="70AD47" w:themeColor="accent6"/>
                                <w:spacing w:val="20"/>
                              </w:rPr>
                            </w:pPr>
                            <w:r>
                              <w:rPr>
                                <w:rFonts w:ascii="微软雅黑" w:eastAsia="微软雅黑" w:hAnsi="微软雅黑" w:cs="微软雅黑" w:hint="eastAsia"/>
                                <w:b/>
                                <w:bCs/>
                                <w:color w:val="70AD47" w:themeColor="accent6"/>
                                <w:spacing w:val="20"/>
                              </w:rPr>
                              <w:t>天强管理顾问</w:t>
                            </w:r>
                            <w:r>
                              <w:rPr>
                                <w:rFonts w:ascii="微软雅黑" w:eastAsia="微软雅黑" w:hAnsi="微软雅黑" w:cs="微软雅黑" w:hint="eastAsia"/>
                                <w:b/>
                                <w:bCs/>
                                <w:color w:val="70AD47" w:themeColor="accent6"/>
                              </w:rPr>
                              <w:t>——</w:t>
                            </w:r>
                            <w:r>
                              <w:rPr>
                                <w:rFonts w:ascii="微软雅黑" w:eastAsia="微软雅黑" w:hAnsi="微软雅黑" w:cs="微软雅黑" w:hint="eastAsia"/>
                                <w:b/>
                                <w:bCs/>
                                <w:color w:val="70AD47" w:themeColor="accent6"/>
                                <w:spacing w:val="20"/>
                              </w:rPr>
                              <w:t>企业创新转型与变革管理的智力伙伴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85B5A" id="_x0000_t202" coordsize="21600,21600" o:spt="202" path="m,l,21600r21600,l21600,xe">
                <v:stroke joinstyle="miter"/>
                <v:path gradientshapeok="t" o:connecttype="rect"/>
              </v:shapetype>
              <v:shape id="文本框 22" o:spid="_x0000_s1026" type="#_x0000_t202" style="position:absolute;margin-left:-63.8pt;margin-top:-22.05pt;width:375.25pt;height:6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" filled="f" stroked="f" strokeweight=".5pt">
                <v:textbox>
                  <w:txbxContent>
                    <w:p w14:paraId="3945F701" w14:textId="77777777" w:rsidR="007D03A1" w:rsidRDefault="007D03A1">
                      <w:pPr>
                        <w:jc w:val="right"/>
                        <w:rPr>
                          <w:rFonts w:ascii="微软雅黑" w:eastAsia="微软雅黑" w:hAnsi="微软雅黑" w:cs="微软雅黑"/>
                          <w:b/>
                          <w:bCs/>
                          <w:color w:val="70AD47" w:themeColor="accent6"/>
                          <w:spacing w:val="20"/>
                        </w:rPr>
                      </w:pPr>
                      <w:r>
                        <w:rPr>
                          <w:rFonts w:ascii="微软雅黑" w:eastAsia="微软雅黑" w:hAnsi="微软雅黑" w:cs="微软雅黑" w:hint="eastAsia"/>
                          <w:b/>
                          <w:bCs/>
                          <w:color w:val="70AD47" w:themeColor="accent6"/>
                          <w:spacing w:val="20"/>
                        </w:rPr>
                        <w:t>天强管理顾问</w:t>
                      </w:r>
                      <w:r>
                        <w:rPr>
                          <w:rFonts w:ascii="微软雅黑" w:eastAsia="微软雅黑" w:hAnsi="微软雅黑" w:cs="微软雅黑" w:hint="eastAsia"/>
                          <w:b/>
                          <w:bCs/>
                          <w:color w:val="70AD47" w:themeColor="accent6"/>
                        </w:rPr>
                        <w:t>——</w:t>
                      </w:r>
                      <w:r>
                        <w:rPr>
                          <w:rFonts w:ascii="微软雅黑" w:eastAsia="微软雅黑" w:hAnsi="微软雅黑" w:cs="微软雅黑" w:hint="eastAsia"/>
                          <w:b/>
                          <w:bCs/>
                          <w:color w:val="70AD47" w:themeColor="accent6"/>
                          <w:spacing w:val="20"/>
                        </w:rPr>
                        <w:t>企业创新转型与变革管理的智力伙伴</w:t>
                      </w:r>
                    </w:p>
                  </w:txbxContent>
                </v:textbox>
              </v:shape>
            </w:pict>
          </mc:Fallback>
        </mc:AlternateContent>
      </w:r>
      <w:r w:rsidR="009B2FB6">
        <w:rPr>
          <w:rFonts w:cs="Tahoma"/>
          <w:noProof/>
        </w:rPr>
        <w:drawing>
          <wp:anchor distT="0" distB="0" distL="114300" distR="114300" simplePos="0" relativeHeight="251714560" behindDoc="1" locked="0" layoutInCell="1" allowOverlap="1" wp14:anchorId="420FD148" wp14:editId="09E2307A">
            <wp:simplePos x="0" y="0"/>
            <wp:positionH relativeFrom="column">
              <wp:posOffset>-1256982</wp:posOffset>
            </wp:positionH>
            <wp:positionV relativeFrom="paragraph">
              <wp:posOffset>-941070</wp:posOffset>
            </wp:positionV>
            <wp:extent cx="7631430" cy="10716895"/>
            <wp:effectExtent l="0" t="0" r="13970" b="1905"/>
            <wp:wrapNone/>
            <wp:docPr id="31" name="图片 31" descr="/Users/tacter/Desktop/底图2.jpg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tacter/Desktop/底图2.jpg底图2"/>
                    <pic:cNvPicPr>
                      <a:picLocks noChangeAspect="1"/>
                    </pic:cNvPicPr>
                  </pic:nvPicPr>
                  <pic:blipFill>
                    <a:blip r:embed="rId9"/>
                    <a:srcRect/>
                    <a:stretch>
                      <a:fillRect/>
                    </a:stretch>
                  </pic:blipFill>
                  <pic:spPr>
                    <a:xfrm>
                      <a:off x="0" y="0"/>
                      <a:ext cx="7631430" cy="10716895"/>
                    </a:xfrm>
                    <a:prstGeom prst="rect">
                      <a:avLst/>
                    </a:prstGeom>
                  </pic:spPr>
                </pic:pic>
              </a:graphicData>
            </a:graphic>
          </wp:anchor>
        </w:drawing>
      </w:r>
    </w:p>
    <w:p w14:paraId="64D0FEDE" w14:textId="77777777" w:rsidR="00F90D93" w:rsidRDefault="009B2FB6">
      <w:pPr>
        <w:jc w:val="center"/>
        <w:rPr>
          <w:rFonts w:cs="Tahoma"/>
        </w:rPr>
      </w:pPr>
      <w:r>
        <w:rPr>
          <w:noProof/>
        </w:rPr>
        <mc:AlternateContent>
          <mc:Choice Requires="wps">
            <w:drawing>
              <wp:anchor distT="0" distB="0" distL="114300" distR="114300" simplePos="0" relativeHeight="251713536" behindDoc="1" locked="0" layoutInCell="1" allowOverlap="1" wp14:anchorId="632A4193" wp14:editId="672294A5">
                <wp:simplePos x="0" y="0"/>
                <wp:positionH relativeFrom="column">
                  <wp:posOffset>1649730</wp:posOffset>
                </wp:positionH>
                <wp:positionV relativeFrom="paragraph">
                  <wp:posOffset>150495</wp:posOffset>
                </wp:positionV>
                <wp:extent cx="2042160" cy="1096645"/>
                <wp:effectExtent l="0" t="0" r="15240" b="20955"/>
                <wp:wrapNone/>
                <wp:docPr id="26" name="矩形 16"/>
                <wp:cNvGraphicFramePr/>
                <a:graphic xmlns:a="http://schemas.openxmlformats.org/drawingml/2006/main">
                  <a:graphicData uri="http://schemas.microsoft.com/office/word/2010/wordprocessingShape">
                    <wps:wsp>
                      <wps:cNvSpPr/>
                      <wps:spPr>
                        <a:xfrm>
                          <a:off x="2792730" y="1263015"/>
                          <a:ext cx="2042160" cy="1096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54721" id="矩形 16" o:spid="_x0000_s1026" style="position:absolute;left:0;text-align:left;margin-left:129.9pt;margin-top:11.85pt;width:160.8pt;height:86.3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" fillcolor="white [3212]" stroked="f" strokeweight="1pt"/>
            </w:pict>
          </mc:Fallback>
        </mc:AlternateContent>
      </w:r>
    </w:p>
    <w:p w14:paraId="40CE7E30" w14:textId="77777777" w:rsidR="00F90D93" w:rsidRDefault="00F90D93">
      <w:pPr>
        <w:jc w:val="center"/>
        <w:rPr>
          <w:rFonts w:cs="Tahoma"/>
        </w:rPr>
      </w:pPr>
    </w:p>
    <w:p w14:paraId="4CCBD4B9" w14:textId="77777777" w:rsidR="00F90D93" w:rsidRDefault="00F90D93">
      <w:pPr>
        <w:jc w:val="center"/>
        <w:rPr>
          <w:rFonts w:ascii="华文楷体" w:eastAsia="华文楷体" w:hAnsi="华文楷体" w:cs="Tahoma"/>
          <w:b/>
          <w:color w:val="FFFFFF" w:themeColor="background1"/>
          <w:sz w:val="32"/>
          <w:szCs w:val="32"/>
        </w:rPr>
      </w:pPr>
    </w:p>
    <w:p w14:paraId="42AC9C84" w14:textId="77777777" w:rsidR="00F90D93" w:rsidRDefault="00F90D93">
      <w:pPr>
        <w:jc w:val="center"/>
        <w:rPr>
          <w:rFonts w:ascii="华文楷体" w:eastAsia="华文楷体" w:hAnsi="华文楷体" w:cs="Tahoma"/>
          <w:b/>
          <w:color w:val="FFFFFF" w:themeColor="background1"/>
          <w:sz w:val="32"/>
          <w:szCs w:val="32"/>
        </w:rPr>
      </w:pPr>
    </w:p>
    <w:p w14:paraId="72FD4F96" w14:textId="77777777" w:rsidR="00F90D93" w:rsidRDefault="00F90D93">
      <w:pPr>
        <w:jc w:val="center"/>
        <w:rPr>
          <w:rFonts w:ascii="华文楷体" w:eastAsia="华文楷体" w:hAnsi="华文楷体" w:cs="Tahoma"/>
          <w:b/>
          <w:color w:val="FFFFFF" w:themeColor="background1"/>
          <w:sz w:val="32"/>
          <w:szCs w:val="32"/>
        </w:rPr>
      </w:pPr>
    </w:p>
    <w:p w14:paraId="7AE33350" w14:textId="77777777" w:rsidR="00F90D93" w:rsidRDefault="00F90D93">
      <w:pPr>
        <w:jc w:val="center"/>
        <w:rPr>
          <w:rFonts w:ascii="Tahoma" w:hAnsi="Tahoma" w:cs="Tahoma"/>
          <w:b/>
          <w:color w:val="FFFFFF" w:themeColor="background1"/>
          <w:sz w:val="72"/>
          <w:szCs w:val="72"/>
        </w:rPr>
      </w:pPr>
    </w:p>
    <w:p w14:paraId="79346DC8" w14:textId="77777777" w:rsidR="00F90D93" w:rsidRDefault="00F90D93">
      <w:pPr>
        <w:jc w:val="center"/>
        <w:rPr>
          <w:rFonts w:ascii="Tahoma" w:hAnsi="Tahoma" w:cs="Tahoma"/>
          <w:b/>
          <w:color w:val="FFFFFF" w:themeColor="background1"/>
          <w:sz w:val="72"/>
          <w:szCs w:val="72"/>
        </w:rPr>
      </w:pPr>
    </w:p>
    <w:p w14:paraId="4DE848E0" w14:textId="19E9E73C" w:rsidR="00FB47CD" w:rsidRDefault="002C374A" w:rsidP="00FB47CD">
      <w:pPr>
        <w:spacing w:after="156"/>
        <w:jc w:val="center"/>
        <w:outlineLvl w:val="0"/>
        <w:rPr>
          <w:rFonts w:ascii="微软雅黑" w:eastAsia="微软雅黑" w:hAnsi="微软雅黑" w:cs="微软雅黑"/>
          <w:b/>
          <w:color w:val="FFFFFF" w:themeColor="background1"/>
          <w:sz w:val="52"/>
          <w:szCs w:val="52"/>
        </w:rPr>
      </w:pPr>
      <w:r>
        <w:rPr>
          <w:rFonts w:ascii="Tahoma" w:hAnsi="Tahoma" w:cs="Tahoma"/>
          <w:b/>
          <w:bCs/>
          <w:color w:val="FFFFFF" w:themeColor="background1"/>
          <w:sz w:val="22"/>
          <w:szCs w:val="22"/>
          <w:lang w:val="nl-NL"/>
        </w:rPr>
        <w:tab/>
      </w:r>
      <w:r w:rsidR="0007174E">
        <w:rPr>
          <w:rFonts w:ascii="微软雅黑" w:eastAsia="微软雅黑" w:hAnsi="微软雅黑" w:cs="微软雅黑" w:hint="eastAsia"/>
          <w:b/>
          <w:color w:val="FFFFFF" w:themeColor="background1"/>
          <w:sz w:val="52"/>
          <w:szCs w:val="52"/>
        </w:rPr>
        <w:t>陕西</w:t>
      </w:r>
      <w:r w:rsidR="00C63308">
        <w:rPr>
          <w:rFonts w:ascii="微软雅黑" w:eastAsia="微软雅黑" w:hAnsi="微软雅黑" w:cs="微软雅黑" w:hint="eastAsia"/>
          <w:b/>
          <w:color w:val="FFFFFF" w:themeColor="background1"/>
          <w:sz w:val="52"/>
          <w:szCs w:val="52"/>
        </w:rPr>
        <w:t>省</w:t>
      </w:r>
      <w:r w:rsidRPr="00FB47CD">
        <w:rPr>
          <w:rFonts w:ascii="微软雅黑" w:eastAsia="微软雅黑" w:hAnsi="微软雅黑" w:cs="微软雅黑" w:hint="eastAsia"/>
          <w:b/>
          <w:color w:val="FFFFFF" w:themeColor="background1"/>
          <w:sz w:val="52"/>
          <w:szCs w:val="52"/>
        </w:rPr>
        <w:t>工程勘察设计企业</w:t>
      </w:r>
    </w:p>
    <w:p w14:paraId="0DF16304" w14:textId="6588D88B" w:rsidR="00F90D93" w:rsidRPr="00FB47CD" w:rsidRDefault="002C374A" w:rsidP="00FB47CD">
      <w:pPr>
        <w:spacing w:after="156"/>
        <w:jc w:val="center"/>
        <w:outlineLvl w:val="0"/>
        <w:rPr>
          <w:rFonts w:ascii="微软雅黑" w:eastAsia="微软雅黑" w:hAnsi="微软雅黑" w:cs="微软雅黑"/>
          <w:b/>
          <w:color w:val="FFFFFF" w:themeColor="background1"/>
          <w:sz w:val="52"/>
          <w:szCs w:val="52"/>
        </w:rPr>
      </w:pPr>
      <w:r w:rsidRPr="00FB47CD">
        <w:rPr>
          <w:rFonts w:ascii="微软雅黑" w:eastAsia="微软雅黑" w:hAnsi="微软雅黑" w:cs="微软雅黑" w:hint="eastAsia"/>
          <w:b/>
          <w:color w:val="FFFFFF" w:themeColor="background1"/>
          <w:sz w:val="52"/>
          <w:szCs w:val="52"/>
        </w:rPr>
        <w:t>受疫情影响调研</w:t>
      </w:r>
      <w:r w:rsidR="009B2FB6" w:rsidRPr="00FB47CD">
        <w:rPr>
          <w:rFonts w:ascii="微软雅黑" w:eastAsia="微软雅黑" w:hAnsi="微软雅黑" w:cs="微软雅黑" w:hint="eastAsia"/>
          <w:b/>
          <w:color w:val="FFFFFF" w:themeColor="background1"/>
          <w:sz w:val="52"/>
          <w:szCs w:val="52"/>
        </w:rPr>
        <w:t>报告</w:t>
      </w:r>
    </w:p>
    <w:p w14:paraId="00703DF0" w14:textId="77777777" w:rsidR="00F90D93" w:rsidRDefault="00F90D93">
      <w:pPr>
        <w:jc w:val="center"/>
        <w:rPr>
          <w:rFonts w:ascii="Tahoma" w:hAnsi="Tahoma" w:cs="Tahoma"/>
          <w:b/>
          <w:bCs/>
          <w:color w:val="FFFFFF" w:themeColor="background1"/>
        </w:rPr>
      </w:pPr>
    </w:p>
    <w:p w14:paraId="6D04DD7A" w14:textId="77777777" w:rsidR="00F90D93" w:rsidRDefault="00F90D93">
      <w:pPr>
        <w:jc w:val="center"/>
        <w:rPr>
          <w:rFonts w:cs="Tahoma"/>
          <w:color w:val="FFFFFF" w:themeColor="background1"/>
        </w:rPr>
      </w:pPr>
    </w:p>
    <w:p w14:paraId="6EB1817D" w14:textId="77777777" w:rsidR="00F90D93" w:rsidRDefault="00F90D93">
      <w:pPr>
        <w:jc w:val="center"/>
        <w:rPr>
          <w:rFonts w:cs="Tahoma"/>
          <w:color w:val="FFFFFF" w:themeColor="background1"/>
        </w:rPr>
      </w:pPr>
    </w:p>
    <w:p w14:paraId="2AC17AA5" w14:textId="77777777" w:rsidR="00F90D93" w:rsidRDefault="00F90D93">
      <w:pPr>
        <w:jc w:val="center"/>
        <w:rPr>
          <w:rFonts w:cs="Tahoma"/>
          <w:color w:val="FFFFFF" w:themeColor="background1"/>
        </w:rPr>
      </w:pPr>
    </w:p>
    <w:p w14:paraId="5B8AC483" w14:textId="77777777" w:rsidR="00F90D93" w:rsidRDefault="00F90D93">
      <w:pPr>
        <w:spacing w:line="300" w:lineRule="auto"/>
        <w:rPr>
          <w:bCs/>
          <w:color w:val="FFFFFF" w:themeColor="background1"/>
        </w:rPr>
      </w:pPr>
    </w:p>
    <w:p w14:paraId="75A1B4BF" w14:textId="77777777" w:rsidR="00F90D93" w:rsidRDefault="00F90D93">
      <w:pPr>
        <w:spacing w:line="300" w:lineRule="auto"/>
        <w:rPr>
          <w:bCs/>
          <w:color w:val="FFFFFF" w:themeColor="background1"/>
          <w:lang w:val="nl-NL"/>
        </w:rPr>
      </w:pPr>
    </w:p>
    <w:p w14:paraId="579FF773" w14:textId="77777777" w:rsidR="00F90D93" w:rsidRDefault="00F90D93">
      <w:pPr>
        <w:spacing w:line="300" w:lineRule="auto"/>
        <w:rPr>
          <w:bCs/>
          <w:color w:val="FFFFFF" w:themeColor="background1"/>
          <w:lang w:val="nl-NL"/>
        </w:rPr>
      </w:pPr>
    </w:p>
    <w:p w14:paraId="2EE4DE8E" w14:textId="77777777" w:rsidR="00F90D93" w:rsidRDefault="00F90D93">
      <w:pPr>
        <w:spacing w:line="300" w:lineRule="auto"/>
        <w:rPr>
          <w:bCs/>
          <w:color w:val="FFFFFF" w:themeColor="background1"/>
          <w:lang w:val="nl-NL"/>
        </w:rPr>
      </w:pPr>
    </w:p>
    <w:p w14:paraId="1D3AB705" w14:textId="77777777" w:rsidR="00F90D93" w:rsidRDefault="00F90D93">
      <w:pPr>
        <w:spacing w:line="300" w:lineRule="auto"/>
        <w:rPr>
          <w:bCs/>
          <w:color w:val="FFFFFF" w:themeColor="background1"/>
          <w:lang w:val="nl-NL"/>
        </w:rPr>
      </w:pPr>
    </w:p>
    <w:p w14:paraId="708BEE97" w14:textId="77777777" w:rsidR="00F90D93" w:rsidRDefault="00F90D93">
      <w:pPr>
        <w:spacing w:line="300" w:lineRule="auto"/>
        <w:ind w:left="2"/>
        <w:jc w:val="center"/>
        <w:rPr>
          <w:bCs/>
          <w:color w:val="FFFFFF" w:themeColor="background1"/>
        </w:rPr>
      </w:pPr>
    </w:p>
    <w:p w14:paraId="434D0467" w14:textId="77777777" w:rsidR="00F90D93" w:rsidRDefault="00F90D93">
      <w:pPr>
        <w:spacing w:line="300" w:lineRule="auto"/>
        <w:jc w:val="center"/>
        <w:rPr>
          <w:rFonts w:ascii="Tahoma" w:hAnsi="Tahoma" w:cs="Tahoma"/>
          <w:b/>
          <w:bCs/>
          <w:color w:val="FFFFFF" w:themeColor="background1"/>
          <w:szCs w:val="21"/>
          <w:lang w:val="nl-NL"/>
        </w:rPr>
      </w:pPr>
    </w:p>
    <w:p w14:paraId="7CAEAC78" w14:textId="77777777" w:rsidR="00F90D93" w:rsidRDefault="00F90D93">
      <w:pPr>
        <w:spacing w:line="300" w:lineRule="auto"/>
        <w:rPr>
          <w:rFonts w:ascii="Tahoma" w:hAnsi="Tahoma" w:cs="Tahoma"/>
          <w:b/>
          <w:bCs/>
          <w:color w:val="FFFFFF" w:themeColor="background1"/>
          <w:szCs w:val="21"/>
          <w:lang w:val="nl-NL"/>
        </w:rPr>
      </w:pPr>
    </w:p>
    <w:p w14:paraId="541B7B9E" w14:textId="77777777" w:rsidR="00F90D93" w:rsidRDefault="009B2FB6">
      <w:pPr>
        <w:spacing w:line="300" w:lineRule="auto"/>
        <w:jc w:val="center"/>
        <w:rPr>
          <w:rFonts w:ascii="Tahoma" w:hAnsi="Tahoma" w:cs="Tahoma"/>
          <w:b/>
          <w:bCs/>
          <w:color w:val="FFFFFF" w:themeColor="background1"/>
          <w:szCs w:val="21"/>
          <w:lang w:val="nl-NL"/>
        </w:rPr>
      </w:pPr>
      <w:r>
        <w:rPr>
          <w:rFonts w:ascii="Tahoma" w:hAnsi="Tahoma" w:cs="Tahoma" w:hint="eastAsia"/>
          <w:b/>
          <w:noProof/>
          <w:color w:val="FFFFFF" w:themeColor="background1"/>
          <w:sz w:val="72"/>
          <w:szCs w:val="72"/>
        </w:rPr>
        <w:drawing>
          <wp:anchor distT="0" distB="0" distL="114300" distR="114300" simplePos="0" relativeHeight="251715584" behindDoc="0" locked="0" layoutInCell="1" allowOverlap="1" wp14:anchorId="34AD5B87" wp14:editId="799D1EDC">
            <wp:simplePos x="0" y="0"/>
            <wp:positionH relativeFrom="column">
              <wp:posOffset>1963420</wp:posOffset>
            </wp:positionH>
            <wp:positionV relativeFrom="paragraph">
              <wp:posOffset>130175</wp:posOffset>
            </wp:positionV>
            <wp:extent cx="1346835" cy="231140"/>
            <wp:effectExtent l="0" t="0" r="24765" b="22860"/>
            <wp:wrapNone/>
            <wp:docPr id="38" name="图片 23" descr="/Users/tacter/Desktop/logo/2019天强logo-白.png2019天强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Users/tacter/Desktop/logo/2019天强logo-白.png2019天强logo-白"/>
                    <pic:cNvPicPr>
                      <a:picLocks noChangeAspect="1"/>
                    </pic:cNvPicPr>
                  </pic:nvPicPr>
                  <pic:blipFill>
                    <a:blip r:embed="rId10"/>
                    <a:srcRect/>
                    <a:stretch>
                      <a:fillRect/>
                    </a:stretch>
                  </pic:blipFill>
                  <pic:spPr>
                    <a:xfrm>
                      <a:off x="0" y="0"/>
                      <a:ext cx="1346835" cy="231140"/>
                    </a:xfrm>
                    <a:prstGeom prst="rect">
                      <a:avLst/>
                    </a:prstGeom>
                    <a:noFill/>
                    <a:ln w="9525">
                      <a:noFill/>
                    </a:ln>
                  </pic:spPr>
                </pic:pic>
              </a:graphicData>
            </a:graphic>
          </wp:anchor>
        </w:drawing>
      </w:r>
    </w:p>
    <w:p w14:paraId="3D623856" w14:textId="77777777" w:rsidR="00F90D93" w:rsidRDefault="00F90D93">
      <w:pPr>
        <w:spacing w:line="300" w:lineRule="auto"/>
        <w:jc w:val="center"/>
        <w:rPr>
          <w:rFonts w:ascii="Tahoma" w:hAnsi="Tahoma" w:cs="Tahoma"/>
          <w:b/>
          <w:bCs/>
          <w:color w:val="FFFFFF" w:themeColor="background1"/>
          <w:szCs w:val="21"/>
          <w:lang w:val="nl-NL"/>
        </w:rPr>
      </w:pPr>
    </w:p>
    <w:p w14:paraId="7C181035" w14:textId="0BE56774" w:rsidR="00F90D93" w:rsidRDefault="009B2FB6">
      <w:pPr>
        <w:spacing w:line="300" w:lineRule="auto"/>
        <w:jc w:val="center"/>
        <w:rPr>
          <w:rFonts w:ascii="Tahoma" w:hAnsi="Tahoma" w:cs="Tahoma"/>
          <w:b/>
          <w:bCs/>
          <w:color w:val="FFFFFF" w:themeColor="background1"/>
          <w:sz w:val="22"/>
          <w:szCs w:val="22"/>
          <w:lang w:val="nl-NL"/>
        </w:rPr>
        <w:sectPr w:rsidR="00F90D93">
          <w:headerReference w:type="default" r:id="rId11"/>
          <w:footerReference w:type="default" r:id="rId12"/>
          <w:pgSz w:w="11906" w:h="16838"/>
          <w:pgMar w:top="1440" w:right="1646" w:bottom="1440" w:left="1980" w:header="779" w:footer="992" w:gutter="0"/>
          <w:cols w:space="720"/>
          <w:docGrid w:type="lines" w:linePitch="312"/>
        </w:sectPr>
      </w:pPr>
      <w:r>
        <w:rPr>
          <w:rFonts w:ascii="Tahoma" w:hAnsi="Tahoma" w:cs="Tahoma" w:hint="eastAsia"/>
          <w:b/>
          <w:bCs/>
          <w:color w:val="FFFFFF" w:themeColor="background1"/>
          <w:sz w:val="22"/>
          <w:szCs w:val="22"/>
          <w:lang w:val="nl-NL"/>
        </w:rPr>
        <w:t>二零</w:t>
      </w:r>
      <w:r w:rsidR="002C374A">
        <w:rPr>
          <w:rFonts w:ascii="Tahoma" w:hAnsi="Tahoma" w:cs="Tahoma" w:hint="eastAsia"/>
          <w:b/>
          <w:bCs/>
          <w:color w:val="FFFFFF" w:themeColor="background1"/>
          <w:sz w:val="22"/>
          <w:szCs w:val="22"/>
          <w:lang w:val="nl-NL"/>
        </w:rPr>
        <w:t>二零</w:t>
      </w:r>
      <w:r>
        <w:rPr>
          <w:rFonts w:ascii="Tahoma" w:hAnsi="Tahoma" w:cs="Tahoma" w:hint="eastAsia"/>
          <w:b/>
          <w:bCs/>
          <w:color w:val="FFFFFF" w:themeColor="background1"/>
          <w:sz w:val="22"/>
          <w:szCs w:val="22"/>
          <w:lang w:val="nl-NL"/>
        </w:rPr>
        <w:t>年</w:t>
      </w:r>
      <w:r w:rsidR="0046010F">
        <w:rPr>
          <w:rFonts w:ascii="Tahoma" w:hAnsi="Tahoma" w:cs="Tahoma" w:hint="eastAsia"/>
          <w:b/>
          <w:bCs/>
          <w:color w:val="FFFFFF" w:themeColor="background1"/>
          <w:sz w:val="22"/>
          <w:szCs w:val="22"/>
          <w:lang w:val="nl-NL"/>
        </w:rPr>
        <w:t>三月</w:t>
      </w:r>
    </w:p>
    <w:p w14:paraId="4232C0B5" w14:textId="0EF0D2C1" w:rsidR="002C374A" w:rsidRPr="00082A24" w:rsidRDefault="002C374A" w:rsidP="002C374A">
      <w:pPr>
        <w:spacing w:after="156"/>
        <w:jc w:val="center"/>
        <w:outlineLvl w:val="0"/>
        <w:rPr>
          <w:rFonts w:ascii="微软雅黑" w:eastAsia="微软雅黑" w:hAnsi="微软雅黑"/>
          <w:b/>
          <w:bCs/>
          <w:sz w:val="32"/>
          <w:szCs w:val="28"/>
        </w:rPr>
      </w:pPr>
      <w:r>
        <w:rPr>
          <w:rFonts w:ascii="Tahoma" w:hAnsi="Tahoma" w:cs="Tahoma"/>
          <w:b/>
          <w:bCs/>
          <w:color w:val="FFFFFF" w:themeColor="background1"/>
          <w:sz w:val="22"/>
          <w:szCs w:val="22"/>
          <w:lang w:val="nl-NL"/>
        </w:rPr>
        <w:lastRenderedPageBreak/>
        <w:tab/>
      </w:r>
      <w:r w:rsidR="0007174E">
        <w:rPr>
          <w:rFonts w:ascii="微软雅黑" w:eastAsia="微软雅黑" w:hAnsi="微软雅黑" w:hint="eastAsia"/>
          <w:b/>
          <w:bCs/>
          <w:sz w:val="32"/>
          <w:szCs w:val="28"/>
        </w:rPr>
        <w:t>陕西</w:t>
      </w:r>
      <w:r w:rsidR="00A229F3">
        <w:rPr>
          <w:rFonts w:ascii="微软雅黑" w:eastAsia="微软雅黑" w:hAnsi="微软雅黑" w:hint="eastAsia"/>
          <w:b/>
          <w:bCs/>
          <w:sz w:val="32"/>
          <w:szCs w:val="28"/>
        </w:rPr>
        <w:t>省</w:t>
      </w:r>
      <w:r w:rsidRPr="00082A24">
        <w:rPr>
          <w:rFonts w:ascii="微软雅黑" w:eastAsia="微软雅黑" w:hAnsi="微软雅黑" w:hint="eastAsia"/>
          <w:b/>
          <w:bCs/>
          <w:sz w:val="32"/>
          <w:szCs w:val="28"/>
        </w:rPr>
        <w:t>工程勘察设计企业受疫情影响调研</w:t>
      </w:r>
      <w:r>
        <w:rPr>
          <w:rFonts w:ascii="微软雅黑" w:eastAsia="微软雅黑" w:hAnsi="微软雅黑" w:hint="eastAsia"/>
          <w:b/>
          <w:bCs/>
          <w:sz w:val="32"/>
          <w:szCs w:val="28"/>
        </w:rPr>
        <w:t>报告</w:t>
      </w:r>
    </w:p>
    <w:p w14:paraId="3017B88C" w14:textId="77777777" w:rsidR="002C374A" w:rsidRPr="00285F5D" w:rsidRDefault="002C374A" w:rsidP="002C374A">
      <w:pPr>
        <w:spacing w:after="156"/>
        <w:outlineLvl w:val="0"/>
        <w:rPr>
          <w:rFonts w:ascii="微软雅黑" w:eastAsia="微软雅黑" w:hAnsi="微软雅黑"/>
          <w:b/>
          <w:bCs/>
          <w:color w:val="0070C0"/>
          <w:sz w:val="28"/>
          <w:szCs w:val="28"/>
        </w:rPr>
      </w:pPr>
      <w:r>
        <w:rPr>
          <w:rFonts w:ascii="微软雅黑" w:eastAsia="微软雅黑" w:hAnsi="微软雅黑" w:hint="eastAsia"/>
          <w:b/>
          <w:bCs/>
          <w:color w:val="0070C0"/>
          <w:sz w:val="28"/>
          <w:szCs w:val="28"/>
        </w:rPr>
        <w:t>【</w:t>
      </w:r>
      <w:r w:rsidRPr="00285F5D">
        <w:rPr>
          <w:rFonts w:ascii="微软雅黑" w:eastAsia="微软雅黑" w:hAnsi="微软雅黑" w:hint="eastAsia"/>
          <w:b/>
          <w:bCs/>
          <w:color w:val="0070C0"/>
          <w:sz w:val="28"/>
          <w:szCs w:val="28"/>
        </w:rPr>
        <w:t>样本说明</w:t>
      </w:r>
      <w:r>
        <w:rPr>
          <w:rFonts w:ascii="微软雅黑" w:eastAsia="微软雅黑" w:hAnsi="微软雅黑" w:hint="eastAsia"/>
          <w:b/>
          <w:bCs/>
          <w:color w:val="0070C0"/>
          <w:sz w:val="28"/>
          <w:szCs w:val="28"/>
        </w:rPr>
        <w:t>】</w:t>
      </w:r>
    </w:p>
    <w:p w14:paraId="190F8FB4" w14:textId="1B2B46F1" w:rsidR="002C374A" w:rsidRDefault="002C374A" w:rsidP="00F243A0">
      <w:pPr>
        <w:spacing w:after="120" w:line="300" w:lineRule="auto"/>
        <w:ind w:firstLineChars="200" w:firstLine="480"/>
        <w:jc w:val="both"/>
      </w:pPr>
      <w:r w:rsidRPr="00234B6D">
        <w:rPr>
          <w:rFonts w:hint="eastAsia"/>
        </w:rPr>
        <w:t>为深入了解新型肺炎疫情对</w:t>
      </w:r>
      <w:r w:rsidR="0007174E">
        <w:rPr>
          <w:rFonts w:hint="eastAsia"/>
        </w:rPr>
        <w:t>陕西</w:t>
      </w:r>
      <w:r w:rsidRPr="00234B6D">
        <w:rPr>
          <w:rFonts w:hint="eastAsia"/>
        </w:rPr>
        <w:t>省工程勘察设计企业</w:t>
      </w:r>
      <w:r w:rsidR="00BD2C7D">
        <w:rPr>
          <w:rFonts w:hint="eastAsia"/>
        </w:rPr>
        <w:t>的</w:t>
      </w:r>
      <w:r w:rsidRPr="00234B6D">
        <w:rPr>
          <w:rFonts w:hint="eastAsia"/>
        </w:rPr>
        <w:t>影响，</w:t>
      </w:r>
      <w:r w:rsidR="0007174E">
        <w:rPr>
          <w:rFonts w:hint="eastAsia"/>
        </w:rPr>
        <w:t>陕西</w:t>
      </w:r>
      <w:r w:rsidR="00BE02FC">
        <w:rPr>
          <w:rFonts w:hint="eastAsia"/>
        </w:rPr>
        <w:t>省勘察设计协会联同</w:t>
      </w:r>
      <w:r w:rsidRPr="00234B6D">
        <w:rPr>
          <w:rFonts w:hint="eastAsia"/>
        </w:rPr>
        <w:t>天强管理咨询</w:t>
      </w:r>
      <w:r w:rsidRPr="00234B6D">
        <w:t>启动</w:t>
      </w:r>
      <w:r w:rsidRPr="00234B6D">
        <w:rPr>
          <w:rFonts w:hint="eastAsia"/>
        </w:rPr>
        <w:t>了</w:t>
      </w:r>
      <w:r w:rsidR="0046010F">
        <w:rPr>
          <w:rFonts w:hint="eastAsia"/>
        </w:rPr>
        <w:t>“</w:t>
      </w:r>
      <w:r w:rsidR="0007174E">
        <w:rPr>
          <w:rFonts w:hint="eastAsia"/>
        </w:rPr>
        <w:t>陕西</w:t>
      </w:r>
      <w:r w:rsidRPr="00234B6D">
        <w:rPr>
          <w:rFonts w:hint="eastAsia"/>
        </w:rPr>
        <w:t>省工程勘察设计企业受新型冠状病毒疫情影响情况</w:t>
      </w:r>
      <w:r w:rsidR="0046010F">
        <w:rPr>
          <w:rFonts w:hint="eastAsia"/>
        </w:rPr>
        <w:t>”</w:t>
      </w:r>
      <w:r w:rsidRPr="00234B6D">
        <w:t>线上问卷调研</w:t>
      </w:r>
      <w:r w:rsidR="0046010F">
        <w:rPr>
          <w:rFonts w:hint="eastAsia"/>
        </w:rPr>
        <w:t>工作</w:t>
      </w:r>
      <w:r w:rsidRPr="00234B6D">
        <w:t>。</w:t>
      </w:r>
      <w:r w:rsidRPr="00234B6D">
        <w:rPr>
          <w:rFonts w:hint="eastAsia"/>
        </w:rPr>
        <w:t>截至2020年</w:t>
      </w:r>
      <w:r w:rsidR="00584B8E">
        <w:t>2</w:t>
      </w:r>
      <w:r w:rsidRPr="00234B6D">
        <w:rPr>
          <w:rFonts w:hint="eastAsia"/>
        </w:rPr>
        <w:t>月</w:t>
      </w:r>
      <w:r w:rsidR="00584B8E">
        <w:t>27</w:t>
      </w:r>
      <w:r w:rsidRPr="00234B6D">
        <w:rPr>
          <w:rFonts w:hint="eastAsia"/>
        </w:rPr>
        <w:t>日，此次调研</w:t>
      </w:r>
      <w:r w:rsidR="00CA25EC">
        <w:rPr>
          <w:rFonts w:hint="eastAsia"/>
        </w:rPr>
        <w:t>共回收了来自</w:t>
      </w:r>
      <w:r w:rsidR="0007174E">
        <w:t>65</w:t>
      </w:r>
      <w:r w:rsidRPr="00234B6D">
        <w:t>家</w:t>
      </w:r>
      <w:r w:rsidR="00CA25EC">
        <w:rPr>
          <w:rFonts w:hint="eastAsia"/>
        </w:rPr>
        <w:t>样本</w:t>
      </w:r>
      <w:r w:rsidRPr="00234B6D">
        <w:rPr>
          <w:rFonts w:hint="eastAsia"/>
        </w:rPr>
        <w:t>企业</w:t>
      </w:r>
      <w:r w:rsidR="00CA25EC">
        <w:rPr>
          <w:rFonts w:hint="eastAsia"/>
        </w:rPr>
        <w:t>的调研问卷</w:t>
      </w:r>
      <w:r w:rsidRPr="00234B6D">
        <w:t>。</w:t>
      </w:r>
    </w:p>
    <w:p w14:paraId="0508B2C1" w14:textId="2BDC4D51" w:rsidR="002C374A" w:rsidRDefault="00FB47CD" w:rsidP="00F243A0">
      <w:pPr>
        <w:spacing w:after="120" w:line="300" w:lineRule="auto"/>
        <w:ind w:firstLineChars="200" w:firstLine="480"/>
        <w:jc w:val="both"/>
      </w:pPr>
      <w:r>
        <w:rPr>
          <w:rFonts w:hint="eastAsia"/>
        </w:rPr>
        <w:t>按照企业性质分布来看，</w:t>
      </w:r>
      <w:r w:rsidR="002C374A" w:rsidRPr="00234B6D">
        <w:rPr>
          <w:rFonts w:hint="eastAsia"/>
        </w:rPr>
        <w:t>此次参与调研的</w:t>
      </w:r>
      <w:r w:rsidR="00E03127">
        <w:rPr>
          <w:rFonts w:hint="eastAsia"/>
        </w:rPr>
        <w:t>65</w:t>
      </w:r>
      <w:r w:rsidR="002C374A" w:rsidRPr="00234B6D">
        <w:rPr>
          <w:rFonts w:hint="eastAsia"/>
        </w:rPr>
        <w:t>家企业以</w:t>
      </w:r>
      <w:r w:rsidR="00A75EEE">
        <w:rPr>
          <w:rFonts w:hint="eastAsia"/>
        </w:rPr>
        <w:t>国有企业（含独资、控股和参股）</w:t>
      </w:r>
      <w:r w:rsidR="002C374A" w:rsidRPr="00234B6D">
        <w:rPr>
          <w:rFonts w:hint="eastAsia"/>
        </w:rPr>
        <w:t>为主</w:t>
      </w:r>
      <w:r w:rsidR="00BE02FC">
        <w:rPr>
          <w:rFonts w:hint="eastAsia"/>
        </w:rPr>
        <w:t>，</w:t>
      </w:r>
      <w:r w:rsidR="00A75EEE">
        <w:rPr>
          <w:rFonts w:hint="eastAsia"/>
        </w:rPr>
        <w:t>占比6</w:t>
      </w:r>
      <w:r w:rsidR="00A75EEE">
        <w:t>1.5</w:t>
      </w:r>
      <w:r w:rsidR="00A75EEE">
        <w:rPr>
          <w:rFonts w:hint="eastAsia"/>
        </w:rPr>
        <w:t>%。其中，国有独资企业3</w:t>
      </w:r>
      <w:r w:rsidR="00A75EEE">
        <w:t>4</w:t>
      </w:r>
      <w:r w:rsidRPr="00234B6D">
        <w:rPr>
          <w:rFonts w:hint="eastAsia"/>
        </w:rPr>
        <w:t>家，占比</w:t>
      </w:r>
      <w:r w:rsidR="007733E6">
        <w:rPr>
          <w:rFonts w:hint="eastAsia"/>
        </w:rPr>
        <w:t>5</w:t>
      </w:r>
      <w:r w:rsidR="00A75EEE">
        <w:t>2.3</w:t>
      </w:r>
      <w:r w:rsidRPr="00234B6D">
        <w:rPr>
          <w:rFonts w:hint="eastAsia"/>
        </w:rPr>
        <w:t>%</w:t>
      </w:r>
      <w:r w:rsidR="00F243A0">
        <w:rPr>
          <w:rFonts w:hint="eastAsia"/>
        </w:rPr>
        <w:t>，</w:t>
      </w:r>
      <w:r w:rsidR="00A75EEE">
        <w:rPr>
          <w:rFonts w:hint="eastAsia"/>
        </w:rPr>
        <w:t>民营企业共1</w:t>
      </w:r>
      <w:r w:rsidR="00A75EEE">
        <w:t>7</w:t>
      </w:r>
      <w:r w:rsidR="00A75EEE">
        <w:rPr>
          <w:rFonts w:hint="eastAsia"/>
        </w:rPr>
        <w:t>家，占比2</w:t>
      </w:r>
      <w:r w:rsidR="00A75EEE">
        <w:t>6.2</w:t>
      </w:r>
      <w:r w:rsidR="00A75EEE">
        <w:rPr>
          <w:rFonts w:hint="eastAsia"/>
        </w:rPr>
        <w:t>%</w:t>
      </w:r>
      <w:r w:rsidR="00F243A0">
        <w:rPr>
          <w:rFonts w:hint="eastAsia"/>
        </w:rPr>
        <w:t>，</w:t>
      </w:r>
      <w:r w:rsidR="001A57B8">
        <w:rPr>
          <w:rFonts w:hint="eastAsia"/>
        </w:rPr>
        <w:t>此次调研就样本分布来看，虽然国有企业占据大多数，但是在一定程度上也反映了陕西省工程勘察</w:t>
      </w:r>
      <w:r w:rsidR="006F0B2E">
        <w:rPr>
          <w:rFonts w:hint="eastAsia"/>
        </w:rPr>
        <w:t>设计企业</w:t>
      </w:r>
      <w:r w:rsidR="001A57B8">
        <w:rPr>
          <w:rFonts w:hint="eastAsia"/>
        </w:rPr>
        <w:t>在此次疫情中所面临的影响。</w:t>
      </w:r>
    </w:p>
    <w:p w14:paraId="39BE38BB" w14:textId="5D5AE29B" w:rsidR="002C374A" w:rsidRPr="00A75EEE" w:rsidRDefault="00A75EEE" w:rsidP="00F243A0">
      <w:pPr>
        <w:spacing w:after="120" w:line="300" w:lineRule="auto"/>
        <w:jc w:val="center"/>
      </w:pPr>
      <w:r>
        <w:rPr>
          <w:rFonts w:hint="eastAsia"/>
          <w:noProof/>
        </w:rPr>
        <w:drawing>
          <wp:inline distT="0" distB="0" distL="0" distR="0" wp14:anchorId="544B10E1" wp14:editId="5ABB443B">
            <wp:extent cx="5061098" cy="253047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8DC391" w14:textId="66F51BE8" w:rsidR="00FB47CD" w:rsidRPr="00007C72" w:rsidRDefault="00007C72" w:rsidP="00F644AD">
      <w:pPr>
        <w:pStyle w:val="a5"/>
        <w:spacing w:afterLines="50" w:after="156" w:line="300" w:lineRule="auto"/>
        <w:jc w:val="center"/>
        <w:rPr>
          <w:rFonts w:ascii="华文楷体" w:eastAsia="华文楷体" w:hAnsi="华文楷体"/>
        </w:rPr>
      </w:pPr>
      <w:r w:rsidRPr="00007C72">
        <w:rPr>
          <w:rFonts w:ascii="华文楷体" w:eastAsia="华文楷体" w:hAnsi="华文楷体" w:hint="eastAsia"/>
        </w:rPr>
        <w:t xml:space="preserve">图 </w:t>
      </w:r>
      <w:r w:rsidRPr="00007C72">
        <w:rPr>
          <w:rFonts w:ascii="华文楷体" w:eastAsia="华文楷体" w:hAnsi="华文楷体"/>
        </w:rPr>
        <w:fldChar w:fldCharType="begin"/>
      </w:r>
      <w:r w:rsidRPr="00007C72">
        <w:rPr>
          <w:rFonts w:ascii="华文楷体" w:eastAsia="华文楷体" w:hAnsi="华文楷体"/>
        </w:rPr>
        <w:instrText xml:space="preserve"> </w:instrText>
      </w:r>
      <w:r w:rsidRPr="00007C72">
        <w:rPr>
          <w:rFonts w:ascii="华文楷体" w:eastAsia="华文楷体" w:hAnsi="华文楷体" w:hint="eastAsia"/>
        </w:rPr>
        <w:instrText>SEQ 图 \* ARABIC</w:instrText>
      </w:r>
      <w:r w:rsidRPr="00007C72">
        <w:rPr>
          <w:rFonts w:ascii="华文楷体" w:eastAsia="华文楷体" w:hAnsi="华文楷体"/>
        </w:rPr>
        <w:instrText xml:space="preserve"> </w:instrText>
      </w:r>
      <w:r w:rsidRPr="00007C72">
        <w:rPr>
          <w:rFonts w:ascii="华文楷体" w:eastAsia="华文楷体" w:hAnsi="华文楷体"/>
        </w:rPr>
        <w:fldChar w:fldCharType="separate"/>
      </w:r>
      <w:r>
        <w:rPr>
          <w:rFonts w:ascii="华文楷体" w:eastAsia="华文楷体" w:hAnsi="华文楷体"/>
          <w:noProof/>
        </w:rPr>
        <w:t>1</w:t>
      </w:r>
      <w:r w:rsidRPr="00007C72">
        <w:rPr>
          <w:rFonts w:ascii="华文楷体" w:eastAsia="华文楷体" w:hAnsi="华文楷体"/>
        </w:rPr>
        <w:fldChar w:fldCharType="end"/>
      </w:r>
      <w:r w:rsidRPr="00007C72">
        <w:rPr>
          <w:rFonts w:ascii="华文楷体" w:eastAsia="华文楷体" w:hAnsi="华文楷体" w:hint="eastAsia"/>
        </w:rPr>
        <w:t>：</w:t>
      </w:r>
      <w:r w:rsidR="0007174E" w:rsidRPr="00007C72">
        <w:rPr>
          <w:rFonts w:ascii="华文楷体" w:eastAsia="华文楷体" w:hAnsi="华文楷体" w:hint="eastAsia"/>
        </w:rPr>
        <w:t>陕西</w:t>
      </w:r>
      <w:r w:rsidR="00990896" w:rsidRPr="00007C72">
        <w:rPr>
          <w:rFonts w:ascii="华文楷体" w:eastAsia="华文楷体" w:hAnsi="华文楷体" w:hint="eastAsia"/>
        </w:rPr>
        <w:t>省</w:t>
      </w:r>
      <w:r w:rsidR="002C374A" w:rsidRPr="00007C72">
        <w:rPr>
          <w:rFonts w:ascii="华文楷体" w:eastAsia="华文楷体" w:hAnsi="华文楷体" w:hint="eastAsia"/>
        </w:rPr>
        <w:t>工程勘察设计企业疫情影响企业性质分布</w:t>
      </w:r>
    </w:p>
    <w:p w14:paraId="4A522BFF" w14:textId="5B455F72" w:rsidR="002C374A" w:rsidRPr="00584B8E" w:rsidRDefault="002C374A" w:rsidP="00340866">
      <w:pPr>
        <w:spacing w:after="120" w:line="300" w:lineRule="auto"/>
        <w:ind w:firstLineChars="200" w:firstLine="480"/>
        <w:jc w:val="both"/>
      </w:pPr>
      <w:r w:rsidRPr="00234B6D">
        <w:rPr>
          <w:rFonts w:hint="eastAsia"/>
        </w:rPr>
        <w:t>从细分行业来看，</w:t>
      </w:r>
      <w:r w:rsidR="00B24B8F">
        <w:rPr>
          <w:rFonts w:hint="eastAsia"/>
        </w:rPr>
        <w:t>接受</w:t>
      </w:r>
      <w:r w:rsidRPr="00234B6D">
        <w:rPr>
          <w:rFonts w:hint="eastAsia"/>
        </w:rPr>
        <w:t>此次调研</w:t>
      </w:r>
      <w:r w:rsidR="00C63272">
        <w:rPr>
          <w:rFonts w:hint="eastAsia"/>
        </w:rPr>
        <w:t>的</w:t>
      </w:r>
      <w:r w:rsidR="00E03127">
        <w:rPr>
          <w:rFonts w:hint="eastAsia"/>
        </w:rPr>
        <w:t>65</w:t>
      </w:r>
      <w:r w:rsidR="004B5470">
        <w:rPr>
          <w:rFonts w:hint="eastAsia"/>
        </w:rPr>
        <w:t>家</w:t>
      </w:r>
      <w:r w:rsidRPr="00234B6D">
        <w:rPr>
          <w:rFonts w:hint="eastAsia"/>
        </w:rPr>
        <w:t>企业涵盖了</w:t>
      </w:r>
      <w:r w:rsidR="004B5470">
        <w:rPr>
          <w:rFonts w:hint="eastAsia"/>
        </w:rPr>
        <w:t>建筑设计、市政设计、交通设计、工业工程设计、工程勘察和专项设计等六大</w:t>
      </w:r>
      <w:r w:rsidR="00495CC3">
        <w:rPr>
          <w:rFonts w:hint="eastAsia"/>
        </w:rPr>
        <w:t>类型</w:t>
      </w:r>
      <w:r w:rsidRPr="00234B6D">
        <w:rPr>
          <w:rFonts w:hint="eastAsia"/>
        </w:rPr>
        <w:t>。</w:t>
      </w:r>
      <w:r w:rsidR="00A75EEE">
        <w:rPr>
          <w:rFonts w:hint="eastAsia"/>
        </w:rPr>
        <w:t>工业工程设计</w:t>
      </w:r>
      <w:r w:rsidR="004B5470">
        <w:rPr>
          <w:rFonts w:hint="eastAsia"/>
        </w:rPr>
        <w:t>类企业</w:t>
      </w:r>
      <w:r w:rsidR="00495CC3">
        <w:rPr>
          <w:rFonts w:hint="eastAsia"/>
        </w:rPr>
        <w:t>占比最高，达</w:t>
      </w:r>
      <w:r w:rsidR="00A75EEE">
        <w:rPr>
          <w:rFonts w:hint="eastAsia"/>
        </w:rPr>
        <w:t>3</w:t>
      </w:r>
      <w:r w:rsidR="00A75EEE">
        <w:t>0.8</w:t>
      </w:r>
      <w:r w:rsidR="00495CC3">
        <w:rPr>
          <w:rFonts w:hint="eastAsia"/>
        </w:rPr>
        <w:t>%</w:t>
      </w:r>
      <w:r w:rsidR="00FB47CD">
        <w:rPr>
          <w:rFonts w:hint="eastAsia"/>
        </w:rPr>
        <w:t>，</w:t>
      </w:r>
      <w:r w:rsidR="004B5470">
        <w:rPr>
          <w:rFonts w:hint="eastAsia"/>
        </w:rPr>
        <w:t>其次</w:t>
      </w:r>
      <w:r w:rsidR="00495CC3">
        <w:rPr>
          <w:rFonts w:hint="eastAsia"/>
        </w:rPr>
        <w:t>是</w:t>
      </w:r>
      <w:r w:rsidR="00A75EEE">
        <w:rPr>
          <w:rFonts w:hint="eastAsia"/>
        </w:rPr>
        <w:t>工程勘察类</w:t>
      </w:r>
      <w:r w:rsidR="004B5470">
        <w:rPr>
          <w:rFonts w:hint="eastAsia"/>
        </w:rPr>
        <w:t>类企业</w:t>
      </w:r>
      <w:r w:rsidR="00495CC3">
        <w:rPr>
          <w:rFonts w:hint="eastAsia"/>
        </w:rPr>
        <w:t>，</w:t>
      </w:r>
      <w:r w:rsidR="004B5470">
        <w:rPr>
          <w:rFonts w:hint="eastAsia"/>
        </w:rPr>
        <w:t>占比约为</w:t>
      </w:r>
      <w:r w:rsidR="00A75EEE">
        <w:t>23.1</w:t>
      </w:r>
      <w:r w:rsidR="004B5470">
        <w:rPr>
          <w:rFonts w:hint="eastAsia"/>
        </w:rPr>
        <w:t>%。</w:t>
      </w:r>
      <w:r w:rsidR="00FB47CD" w:rsidRPr="00B24B8F">
        <w:rPr>
          <w:rFonts w:hint="eastAsia"/>
        </w:rPr>
        <w:t>本次回收的样本</w:t>
      </w:r>
      <w:r w:rsidR="00B24B8F">
        <w:rPr>
          <w:rFonts w:hint="eastAsia"/>
        </w:rPr>
        <w:t>从</w:t>
      </w:r>
      <w:r w:rsidR="00495CC3" w:rsidRPr="00B24B8F">
        <w:rPr>
          <w:rFonts w:hint="eastAsia"/>
        </w:rPr>
        <w:t>企业</w:t>
      </w:r>
      <w:r w:rsidR="00FB47CD" w:rsidRPr="00B24B8F">
        <w:rPr>
          <w:rFonts w:hint="eastAsia"/>
        </w:rPr>
        <w:t>行业类别分布</w:t>
      </w:r>
      <w:r w:rsidR="00B24B8F">
        <w:rPr>
          <w:rFonts w:hint="eastAsia"/>
        </w:rPr>
        <w:t>上看</w:t>
      </w:r>
      <w:r w:rsidR="00FB47CD" w:rsidRPr="00B24B8F">
        <w:rPr>
          <w:rFonts w:hint="eastAsia"/>
        </w:rPr>
        <w:t>与</w:t>
      </w:r>
      <w:r w:rsidR="0007174E">
        <w:rPr>
          <w:rFonts w:hint="eastAsia"/>
        </w:rPr>
        <w:t>陕西</w:t>
      </w:r>
      <w:r w:rsidR="00FB47CD" w:rsidRPr="00B24B8F">
        <w:rPr>
          <w:rFonts w:hint="eastAsia"/>
        </w:rPr>
        <w:t>省细分行业分布较为一致。</w:t>
      </w:r>
    </w:p>
    <w:p w14:paraId="72C1BD1D" w14:textId="621CD764" w:rsidR="00A75EEE" w:rsidRPr="004B5470" w:rsidRDefault="00A75EEE" w:rsidP="004B5470">
      <w:pPr>
        <w:spacing w:after="156"/>
        <w:jc w:val="center"/>
        <w:rPr>
          <w:rFonts w:ascii="仿宋_GB2312" w:eastAsia="仿宋_GB2312"/>
          <w:sz w:val="28"/>
        </w:rPr>
      </w:pPr>
      <w:r>
        <w:rPr>
          <w:rFonts w:ascii="仿宋_GB2312" w:eastAsia="仿宋_GB2312" w:hint="eastAsia"/>
          <w:noProof/>
          <w:sz w:val="28"/>
        </w:rPr>
        <w:lastRenderedPageBreak/>
        <w:drawing>
          <wp:inline distT="0" distB="0" distL="0" distR="0" wp14:anchorId="07800254" wp14:editId="15469E80">
            <wp:extent cx="4695825" cy="28194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6EC4FB" w14:textId="67908965" w:rsidR="002C374A"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2</w:t>
      </w:r>
      <w:r w:rsidRPr="00F644AD">
        <w:rPr>
          <w:rFonts w:ascii="华文楷体" w:eastAsia="华文楷体" w:hAnsi="华文楷体"/>
        </w:rPr>
        <w:fldChar w:fldCharType="end"/>
      </w:r>
      <w:r w:rsidRPr="00F644AD">
        <w:rPr>
          <w:rFonts w:ascii="华文楷体" w:eastAsia="华文楷体" w:hAnsi="华文楷体" w:hint="eastAsia"/>
        </w:rPr>
        <w:t>：</w:t>
      </w:r>
      <w:r w:rsidR="0007174E">
        <w:rPr>
          <w:rFonts w:ascii="华文楷体" w:eastAsia="华文楷体" w:hAnsi="华文楷体" w:hint="eastAsia"/>
        </w:rPr>
        <w:t>陕西</w:t>
      </w:r>
      <w:r w:rsidR="005374B0">
        <w:rPr>
          <w:rFonts w:ascii="华文楷体" w:eastAsia="华文楷体" w:hAnsi="华文楷体" w:hint="eastAsia"/>
        </w:rPr>
        <w:t>省</w:t>
      </w:r>
      <w:r w:rsidR="002C374A">
        <w:rPr>
          <w:rFonts w:ascii="华文楷体" w:eastAsia="华文楷体" w:hAnsi="华文楷体" w:hint="eastAsia"/>
        </w:rPr>
        <w:t>工程勘察设计企业疫情影响细分领域划分</w:t>
      </w:r>
    </w:p>
    <w:p w14:paraId="2D87A7E1" w14:textId="77777777" w:rsidR="002C374A" w:rsidRPr="00F644AD" w:rsidRDefault="002C374A" w:rsidP="00F644AD">
      <w:pPr>
        <w:pStyle w:val="a5"/>
        <w:spacing w:afterLines="50" w:after="156" w:line="300" w:lineRule="auto"/>
        <w:jc w:val="center"/>
        <w:rPr>
          <w:rFonts w:ascii="华文楷体" w:eastAsia="华文楷体" w:hAnsi="华文楷体"/>
        </w:rPr>
        <w:sectPr w:rsidR="002C374A" w:rsidRPr="00F644AD" w:rsidSect="000E3136">
          <w:pgSz w:w="11906" w:h="16838"/>
          <w:pgMar w:top="1440" w:right="1800" w:bottom="1440" w:left="1800" w:header="851" w:footer="992" w:gutter="0"/>
          <w:pgNumType w:start="1"/>
          <w:cols w:space="425"/>
          <w:docGrid w:type="lines" w:linePitch="312"/>
        </w:sectPr>
      </w:pPr>
    </w:p>
    <w:p w14:paraId="48401C48" w14:textId="55E1F44B" w:rsidR="002C374A" w:rsidRDefault="002C374A" w:rsidP="002C374A">
      <w:pPr>
        <w:spacing w:after="156"/>
        <w:outlineLvl w:val="0"/>
        <w:rPr>
          <w:rFonts w:ascii="微软雅黑" w:eastAsia="微软雅黑" w:hAnsi="微软雅黑"/>
          <w:b/>
          <w:bCs/>
          <w:color w:val="0070C0"/>
          <w:sz w:val="28"/>
          <w:szCs w:val="28"/>
        </w:rPr>
      </w:pPr>
      <w:r w:rsidRPr="000539A1">
        <w:rPr>
          <w:rFonts w:ascii="微软雅黑" w:eastAsia="微软雅黑" w:hAnsi="微软雅黑" w:hint="eastAsia"/>
          <w:b/>
          <w:bCs/>
          <w:color w:val="0070C0"/>
          <w:sz w:val="28"/>
          <w:szCs w:val="28"/>
        </w:rPr>
        <w:lastRenderedPageBreak/>
        <w:t>【</w:t>
      </w:r>
      <w:r w:rsidR="000B7C70">
        <w:rPr>
          <w:rFonts w:ascii="微软雅黑" w:eastAsia="微软雅黑" w:hAnsi="微软雅黑" w:hint="eastAsia"/>
          <w:b/>
          <w:bCs/>
          <w:color w:val="0070C0"/>
          <w:sz w:val="28"/>
          <w:szCs w:val="28"/>
        </w:rPr>
        <w:t>企业影响</w:t>
      </w:r>
      <w:r w:rsidRPr="000539A1">
        <w:rPr>
          <w:rFonts w:ascii="微软雅黑" w:eastAsia="微软雅黑" w:hAnsi="微软雅黑" w:hint="eastAsia"/>
          <w:b/>
          <w:bCs/>
          <w:color w:val="0070C0"/>
          <w:sz w:val="28"/>
          <w:szCs w:val="28"/>
        </w:rPr>
        <w:t>】</w:t>
      </w:r>
    </w:p>
    <w:p w14:paraId="5865C19A" w14:textId="77777777" w:rsidR="00FC0C23" w:rsidRPr="000539A1" w:rsidRDefault="00FC0C23" w:rsidP="002C374A">
      <w:pPr>
        <w:spacing w:after="156"/>
        <w:outlineLvl w:val="0"/>
        <w:rPr>
          <w:rFonts w:ascii="微软雅黑" w:eastAsia="微软雅黑" w:hAnsi="微软雅黑"/>
          <w:b/>
          <w:bCs/>
          <w:color w:val="0070C0"/>
          <w:sz w:val="28"/>
          <w:szCs w:val="28"/>
        </w:rPr>
      </w:pPr>
    </w:p>
    <w:p w14:paraId="5E89E32D" w14:textId="1A4C6E6F" w:rsidR="002C374A" w:rsidRPr="00234B6D" w:rsidRDefault="000F155E" w:rsidP="002C374A">
      <w:pPr>
        <w:spacing w:after="156"/>
        <w:rPr>
          <w:rFonts w:ascii="微软雅黑" w:eastAsia="微软雅黑" w:hAnsi="微软雅黑"/>
          <w:b/>
          <w:bCs/>
        </w:rPr>
      </w:pPr>
      <w:r>
        <w:rPr>
          <w:rFonts w:ascii="微软雅黑" w:eastAsia="微软雅黑" w:hAnsi="微软雅黑" w:hint="eastAsia"/>
          <w:b/>
          <w:bCs/>
        </w:rPr>
        <w:t>企业复工率</w:t>
      </w:r>
      <w:r w:rsidR="00FC0C23">
        <w:rPr>
          <w:rFonts w:ascii="微软雅黑" w:eastAsia="微软雅黑" w:hAnsi="微软雅黑" w:hint="eastAsia"/>
          <w:b/>
          <w:bCs/>
        </w:rPr>
        <w:t>从2月中小旬后</w:t>
      </w:r>
      <w:r>
        <w:rPr>
          <w:rFonts w:ascii="微软雅黑" w:eastAsia="微软雅黑" w:hAnsi="微软雅黑" w:hint="eastAsia"/>
          <w:b/>
          <w:bCs/>
        </w:rPr>
        <w:t>得到好转</w:t>
      </w:r>
      <w:r w:rsidR="00D34E78">
        <w:rPr>
          <w:rFonts w:ascii="微软雅黑" w:eastAsia="微软雅黑" w:hAnsi="微软雅黑" w:hint="eastAsia"/>
          <w:b/>
          <w:bCs/>
        </w:rPr>
        <w:t>，达到6</w:t>
      </w:r>
      <w:r w:rsidR="005B7BBE">
        <w:rPr>
          <w:rFonts w:ascii="微软雅黑" w:eastAsia="微软雅黑" w:hAnsi="微软雅黑"/>
          <w:b/>
          <w:bCs/>
        </w:rPr>
        <w:t>8.9</w:t>
      </w:r>
      <w:r w:rsidR="00D34E78">
        <w:rPr>
          <w:rFonts w:ascii="微软雅黑" w:eastAsia="微软雅黑" w:hAnsi="微软雅黑" w:hint="eastAsia"/>
          <w:b/>
          <w:bCs/>
        </w:rPr>
        <w:t>%</w:t>
      </w:r>
    </w:p>
    <w:p w14:paraId="731FBB34" w14:textId="77777777" w:rsidR="00FC0C23" w:rsidRDefault="000F155E" w:rsidP="00FC0C23">
      <w:pPr>
        <w:spacing w:after="120" w:line="300" w:lineRule="auto"/>
        <w:ind w:firstLineChars="200" w:firstLine="480"/>
        <w:jc w:val="both"/>
      </w:pPr>
      <w:r>
        <w:rPr>
          <w:rFonts w:hint="eastAsia"/>
        </w:rPr>
        <w:t>从企业复工率来看，</w:t>
      </w:r>
      <w:r w:rsidR="00FC0C23">
        <w:rPr>
          <w:rFonts w:hint="eastAsia"/>
        </w:rPr>
        <w:t>从调研情况来看，</w:t>
      </w:r>
      <w:r w:rsidR="00BE2F2A">
        <w:rPr>
          <w:rFonts w:hint="eastAsia"/>
        </w:rPr>
        <w:t>2月15日之前</w:t>
      </w:r>
      <w:r w:rsidR="00FC0C23">
        <w:rPr>
          <w:rFonts w:hint="eastAsia"/>
        </w:rPr>
        <w:t>，8</w:t>
      </w:r>
      <w:r w:rsidR="00FC0C23">
        <w:t>0%</w:t>
      </w:r>
      <w:r w:rsidR="00FC0C23">
        <w:rPr>
          <w:rFonts w:hint="eastAsia"/>
        </w:rPr>
        <w:t>的企业表示</w:t>
      </w:r>
      <w:r w:rsidR="00BE2F2A">
        <w:rPr>
          <w:rFonts w:hint="eastAsia"/>
        </w:rPr>
        <w:t>复工率在30%以下，</w:t>
      </w:r>
      <w:r w:rsidR="00FC0C23">
        <w:rPr>
          <w:rFonts w:hint="eastAsia"/>
        </w:rPr>
        <w:t>但从</w:t>
      </w:r>
      <w:r w:rsidR="00BE2F2A">
        <w:rPr>
          <w:rFonts w:hint="eastAsia"/>
        </w:rPr>
        <w:t>2月17日多数企业开始积极复工复产，逐步恢复生产经营活动。</w:t>
      </w:r>
    </w:p>
    <w:p w14:paraId="5ABC5EDD" w14:textId="77777777" w:rsidR="00FC0C23" w:rsidRDefault="000F155E" w:rsidP="00FC0C23">
      <w:pPr>
        <w:spacing w:after="120" w:line="300" w:lineRule="auto"/>
        <w:ind w:firstLineChars="200" w:firstLine="480"/>
        <w:jc w:val="both"/>
      </w:pPr>
      <w:r w:rsidRPr="000F155E">
        <w:rPr>
          <w:rFonts w:hint="eastAsia"/>
        </w:rPr>
        <w:t>截至</w:t>
      </w:r>
      <w:r w:rsidRPr="000F155E">
        <w:t>3.9日，</w:t>
      </w:r>
      <w:r w:rsidR="00BE2F2A">
        <w:rPr>
          <w:rFonts w:hint="eastAsia"/>
        </w:rPr>
        <w:t>根据陕西省住建厅的统计，</w:t>
      </w:r>
      <w:r w:rsidR="00FC0C23">
        <w:rPr>
          <w:rFonts w:hint="eastAsia"/>
        </w:rPr>
        <w:t>报送复工情况的4</w:t>
      </w:r>
      <w:r w:rsidR="00FC0C23">
        <w:t>09</w:t>
      </w:r>
      <w:r w:rsidR="00FC0C23">
        <w:rPr>
          <w:rFonts w:hint="eastAsia"/>
        </w:rPr>
        <w:t>家勘察设计企业中</w:t>
      </w:r>
      <w:r w:rsidR="00FC0C23" w:rsidRPr="000F155E">
        <w:t>已复工复产企业282家，复工率达</w:t>
      </w:r>
      <w:r w:rsidR="00FC0C23">
        <w:rPr>
          <w:rFonts w:hint="eastAsia"/>
        </w:rPr>
        <w:t>6</w:t>
      </w:r>
      <w:r w:rsidR="00FC0C23">
        <w:t>8.9</w:t>
      </w:r>
      <w:r w:rsidR="00FC0C23" w:rsidRPr="000F155E">
        <w:t>%，</w:t>
      </w:r>
      <w:r w:rsidR="00FC0C23">
        <w:rPr>
          <w:rFonts w:hint="eastAsia"/>
        </w:rPr>
        <w:t>其大多采取现场办公和远程办公相结合等形式开展工作；所报送未复工企业中，有37家企业正在积极办理复工手续，全省其余未复工企业由于疫情影响，人员无法集中到位、办公场所管制无法进出等原因尚未实现复工。</w:t>
      </w:r>
    </w:p>
    <w:p w14:paraId="44C49DA9" w14:textId="7A7C4E68" w:rsidR="000F155E" w:rsidRDefault="00FC0C23" w:rsidP="00FC0C23">
      <w:pPr>
        <w:spacing w:after="120" w:line="300" w:lineRule="auto"/>
        <w:ind w:firstLineChars="200" w:firstLine="480"/>
        <w:jc w:val="both"/>
      </w:pPr>
      <w:r>
        <w:rPr>
          <w:rFonts w:hint="eastAsia"/>
        </w:rPr>
        <w:t>全省施工图审查机构28家，已复工复产机构24家，占全省施工图审查机构的85.8%，其余4家机构由于疫情影响原因，预计一个月内能够实现复工。</w:t>
      </w:r>
      <w:r w:rsidR="000F155E">
        <w:rPr>
          <w:rFonts w:hint="eastAsia"/>
        </w:rPr>
        <w:t>随着国家各种扶持政策的推动和疫情逐渐得到强有力的控制，企业</w:t>
      </w:r>
      <w:r>
        <w:rPr>
          <w:rFonts w:hint="eastAsia"/>
        </w:rPr>
        <w:t>生产经营活动</w:t>
      </w:r>
      <w:r w:rsidR="000F155E">
        <w:rPr>
          <w:rFonts w:hint="eastAsia"/>
        </w:rPr>
        <w:t>有望在三月底四月初得到</w:t>
      </w:r>
      <w:r>
        <w:rPr>
          <w:rFonts w:hint="eastAsia"/>
        </w:rPr>
        <w:t>全面</w:t>
      </w:r>
      <w:r w:rsidR="000F155E">
        <w:rPr>
          <w:rFonts w:hint="eastAsia"/>
        </w:rPr>
        <w:t>恢复。</w:t>
      </w:r>
    </w:p>
    <w:p w14:paraId="0DD8EBFD" w14:textId="77777777" w:rsidR="00FC0C23" w:rsidRDefault="00FC0C23" w:rsidP="00FC0C23">
      <w:pPr>
        <w:spacing w:after="120" w:line="300" w:lineRule="auto"/>
        <w:ind w:firstLineChars="200" w:firstLine="480"/>
        <w:jc w:val="both"/>
      </w:pPr>
    </w:p>
    <w:p w14:paraId="16C3773A" w14:textId="7FCFFAF2" w:rsidR="009520FE" w:rsidRPr="009520FE" w:rsidRDefault="00C87291" w:rsidP="009520FE">
      <w:pPr>
        <w:spacing w:after="156"/>
        <w:rPr>
          <w:rFonts w:ascii="微软雅黑" w:eastAsia="微软雅黑" w:hAnsi="微软雅黑"/>
          <w:b/>
          <w:bCs/>
        </w:rPr>
      </w:pPr>
      <w:r>
        <w:rPr>
          <w:rFonts w:ascii="微软雅黑" w:eastAsia="微软雅黑" w:hAnsi="微软雅黑" w:hint="eastAsia"/>
          <w:b/>
          <w:bCs/>
        </w:rPr>
        <w:t>主要面临</w:t>
      </w:r>
      <w:r w:rsidR="001D1AE6">
        <w:rPr>
          <w:rFonts w:ascii="微软雅黑" w:eastAsia="微软雅黑" w:hAnsi="微软雅黑" w:hint="eastAsia"/>
          <w:b/>
          <w:bCs/>
        </w:rPr>
        <w:t>企业回款困难</w:t>
      </w:r>
      <w:r w:rsidR="009520FE" w:rsidRPr="009520FE">
        <w:rPr>
          <w:rFonts w:ascii="微软雅黑" w:eastAsia="微软雅黑" w:hAnsi="微软雅黑" w:hint="eastAsia"/>
          <w:b/>
          <w:bCs/>
        </w:rPr>
        <w:t>、</w:t>
      </w:r>
      <w:r w:rsidR="001D1AE6">
        <w:rPr>
          <w:rFonts w:ascii="微软雅黑" w:eastAsia="微软雅黑" w:hAnsi="微软雅黑" w:hint="eastAsia"/>
          <w:b/>
          <w:bCs/>
        </w:rPr>
        <w:t>企业市场开发压力增长及</w:t>
      </w:r>
      <w:r w:rsidR="0065773A">
        <w:rPr>
          <w:rFonts w:ascii="微软雅黑" w:eastAsia="微软雅黑" w:hAnsi="微软雅黑" w:hint="eastAsia"/>
          <w:b/>
          <w:bCs/>
        </w:rPr>
        <w:t>企业经营成本增加</w:t>
      </w:r>
      <w:r>
        <w:rPr>
          <w:rFonts w:ascii="微软雅黑" w:eastAsia="微软雅黑" w:hAnsi="微软雅黑" w:hint="eastAsia"/>
          <w:b/>
          <w:bCs/>
        </w:rPr>
        <w:t>等问题</w:t>
      </w:r>
    </w:p>
    <w:p w14:paraId="4327B206" w14:textId="7DF6DFF1" w:rsidR="00FC0C23" w:rsidRDefault="009520FE" w:rsidP="00FC0C23">
      <w:pPr>
        <w:spacing w:after="120" w:line="300" w:lineRule="auto"/>
        <w:ind w:firstLineChars="200" w:firstLine="480"/>
        <w:jc w:val="both"/>
      </w:pPr>
      <w:r w:rsidRPr="009520FE">
        <w:rPr>
          <w:rFonts w:hint="eastAsia"/>
        </w:rPr>
        <w:t>从影响方面来看，疫情直接导致了企业</w:t>
      </w:r>
      <w:r w:rsidR="00B24B8F">
        <w:rPr>
          <w:rFonts w:hint="eastAsia"/>
        </w:rPr>
        <w:t>与其客户</w:t>
      </w:r>
      <w:r w:rsidRPr="009520FE">
        <w:rPr>
          <w:rFonts w:hint="eastAsia"/>
        </w:rPr>
        <w:t>难以正常开展生产经营活动。“</w:t>
      </w:r>
      <w:r w:rsidR="00584B8E">
        <w:rPr>
          <w:rFonts w:hint="eastAsia"/>
        </w:rPr>
        <w:t>客户服务进度延迟</w:t>
      </w:r>
      <w:r w:rsidR="000D5827">
        <w:rPr>
          <w:rFonts w:hint="eastAsia"/>
        </w:rPr>
        <w:t>”</w:t>
      </w:r>
      <w:r w:rsidRPr="009520FE">
        <w:rPr>
          <w:rFonts w:hint="eastAsia"/>
        </w:rPr>
        <w:t>成为多数企业</w:t>
      </w:r>
      <w:r w:rsidR="00596ADC">
        <w:rPr>
          <w:rFonts w:hint="eastAsia"/>
        </w:rPr>
        <w:t>当下</w:t>
      </w:r>
      <w:r w:rsidRPr="009520FE">
        <w:rPr>
          <w:rFonts w:hint="eastAsia"/>
        </w:rPr>
        <w:t>面临的困境，</w:t>
      </w:r>
      <w:r w:rsidR="00456F6C">
        <w:rPr>
          <w:rFonts w:hint="eastAsia"/>
        </w:rPr>
        <w:t>该选项</w:t>
      </w:r>
      <w:r w:rsidRPr="009520FE">
        <w:rPr>
          <w:rFonts w:hint="eastAsia"/>
        </w:rPr>
        <w:t>得分为</w:t>
      </w:r>
      <w:r w:rsidR="00584B8E">
        <w:t>8.22</w:t>
      </w:r>
      <w:r w:rsidRPr="009520FE">
        <w:rPr>
          <w:rFonts w:hint="eastAsia"/>
        </w:rPr>
        <w:t>分，影响</w:t>
      </w:r>
      <w:r w:rsidR="00456F6C">
        <w:rPr>
          <w:rFonts w:hint="eastAsia"/>
        </w:rPr>
        <w:t>最为</w:t>
      </w:r>
      <w:r w:rsidRPr="009520FE">
        <w:rPr>
          <w:rFonts w:hint="eastAsia"/>
        </w:rPr>
        <w:t>明显。</w:t>
      </w:r>
      <w:r w:rsidR="00FC0C23" w:rsidRPr="009520FE">
        <w:rPr>
          <w:rFonts w:hint="eastAsia"/>
        </w:rPr>
        <w:t>由于国家以及地方政府要求企业延迟</w:t>
      </w:r>
      <w:r w:rsidR="00FC0C23">
        <w:rPr>
          <w:rFonts w:hint="eastAsia"/>
        </w:rPr>
        <w:t>节后</w:t>
      </w:r>
      <w:r w:rsidR="00FC0C23" w:rsidRPr="009520FE">
        <w:rPr>
          <w:rFonts w:hint="eastAsia"/>
        </w:rPr>
        <w:t>复工，</w:t>
      </w:r>
      <w:r w:rsidR="00FC0C23">
        <w:rPr>
          <w:rFonts w:hint="eastAsia"/>
        </w:rPr>
        <w:t>对于需要现场投入人力的业务影响较大。</w:t>
      </w:r>
    </w:p>
    <w:p w14:paraId="1F512709" w14:textId="77777777" w:rsidR="00636E23" w:rsidRDefault="00FC0C23" w:rsidP="00636E23">
      <w:pPr>
        <w:spacing w:after="120" w:line="300" w:lineRule="auto"/>
        <w:ind w:firstLineChars="200" w:firstLine="480"/>
        <w:jc w:val="both"/>
      </w:pPr>
      <w:r>
        <w:rPr>
          <w:rFonts w:hint="eastAsia"/>
        </w:rPr>
        <w:t>随着疫情的发展，带来的外出限制，企业普遍面临市场开发压力增长的困境，</w:t>
      </w:r>
      <w:r w:rsidR="009520FE" w:rsidRPr="009520FE">
        <w:rPr>
          <w:rFonts w:hint="eastAsia"/>
        </w:rPr>
        <w:t>得分为</w:t>
      </w:r>
      <w:r w:rsidR="00584B8E">
        <w:rPr>
          <w:rFonts w:hint="eastAsia"/>
        </w:rPr>
        <w:t>7.</w:t>
      </w:r>
      <w:r w:rsidR="00584B8E">
        <w:t>88</w:t>
      </w:r>
      <w:r w:rsidR="00596ADC">
        <w:rPr>
          <w:rFonts w:hint="eastAsia"/>
        </w:rPr>
        <w:t>分</w:t>
      </w:r>
      <w:r w:rsidR="002437A1">
        <w:rPr>
          <w:rFonts w:hint="eastAsia"/>
        </w:rPr>
        <w:t>，</w:t>
      </w:r>
      <w:r w:rsidR="009520FE" w:rsidRPr="009520FE">
        <w:rPr>
          <w:rFonts w:hint="eastAsia"/>
        </w:rPr>
        <w:t>影响明显。</w:t>
      </w:r>
      <w:r w:rsidR="00584B8E">
        <w:rPr>
          <w:rFonts w:hint="eastAsia"/>
        </w:rPr>
        <w:t>此外，“企业回款困难，现金流压力增大</w:t>
      </w:r>
      <w:r w:rsidR="0065773A">
        <w:rPr>
          <w:rFonts w:hint="eastAsia"/>
        </w:rPr>
        <w:t>”以</w:t>
      </w:r>
      <w:r w:rsidR="00584B8E">
        <w:rPr>
          <w:rFonts w:hint="eastAsia"/>
        </w:rPr>
        <w:t>7.</w:t>
      </w:r>
      <w:r w:rsidR="00584B8E">
        <w:t>74</w:t>
      </w:r>
      <w:r w:rsidR="0065773A">
        <w:rPr>
          <w:rFonts w:hint="eastAsia"/>
        </w:rPr>
        <w:t>分成为第三项重大影响。</w:t>
      </w:r>
    </w:p>
    <w:p w14:paraId="09CE2CB4" w14:textId="31D3A441" w:rsidR="00C87291" w:rsidRDefault="00C87291" w:rsidP="00636E23">
      <w:pPr>
        <w:spacing w:after="120" w:line="300" w:lineRule="auto"/>
        <w:ind w:firstLineChars="200" w:firstLine="480"/>
        <w:jc w:val="both"/>
      </w:pPr>
      <w:r>
        <w:rPr>
          <w:rFonts w:hint="eastAsia"/>
        </w:rPr>
        <w:t>除了对企业带来的负面影响，多数企业也表示本次疫情在一些方面也给企业发展带来了促进作用</w:t>
      </w:r>
      <w:r w:rsidR="00B24B8F">
        <w:rPr>
          <w:rFonts w:hint="eastAsia"/>
        </w:rPr>
        <w:t>。</w:t>
      </w:r>
      <w:r>
        <w:rPr>
          <w:rFonts w:hint="eastAsia"/>
        </w:rPr>
        <w:t>例如，</w:t>
      </w:r>
      <w:r w:rsidR="00596ADC">
        <w:rPr>
          <w:rFonts w:hint="eastAsia"/>
        </w:rPr>
        <w:t>促进加快了</w:t>
      </w:r>
      <w:r>
        <w:rPr>
          <w:rFonts w:hint="eastAsia"/>
        </w:rPr>
        <w:t>企业的信息化建设，提升了企业的凝聚力</w:t>
      </w:r>
      <w:r w:rsidR="00B24B8F">
        <w:rPr>
          <w:rFonts w:hint="eastAsia"/>
        </w:rPr>
        <w:t>等</w:t>
      </w:r>
      <w:r>
        <w:rPr>
          <w:rFonts w:hint="eastAsia"/>
        </w:rPr>
        <w:t>。但整体来看，</w:t>
      </w:r>
      <w:r w:rsidR="0007174E">
        <w:rPr>
          <w:rFonts w:hint="eastAsia"/>
        </w:rPr>
        <w:t>陕西</w:t>
      </w:r>
      <w:r>
        <w:rPr>
          <w:rFonts w:hint="eastAsia"/>
        </w:rPr>
        <w:t>省勘察设计企业普遍认为</w:t>
      </w:r>
      <w:r w:rsidR="00324EDA">
        <w:rPr>
          <w:rFonts w:hint="eastAsia"/>
        </w:rPr>
        <w:t>此次疫情带来的</w:t>
      </w:r>
      <w:r>
        <w:rPr>
          <w:rFonts w:hint="eastAsia"/>
        </w:rPr>
        <w:t>负面影响</w:t>
      </w:r>
      <w:r w:rsidR="00324EDA">
        <w:rPr>
          <w:rFonts w:hint="eastAsia"/>
        </w:rPr>
        <w:t>要</w:t>
      </w:r>
      <w:r>
        <w:rPr>
          <w:rFonts w:hint="eastAsia"/>
        </w:rPr>
        <w:t>大于正面影响。</w:t>
      </w:r>
    </w:p>
    <w:p w14:paraId="0A084561" w14:textId="5FAFB5B5" w:rsidR="009520FE" w:rsidRDefault="00584B8E" w:rsidP="00584B8E">
      <w:pPr>
        <w:spacing w:after="120" w:line="300" w:lineRule="auto"/>
        <w:jc w:val="center"/>
      </w:pPr>
      <w:r>
        <w:rPr>
          <w:noProof/>
        </w:rPr>
        <w:lastRenderedPageBreak/>
        <w:drawing>
          <wp:inline distT="0" distB="0" distL="0" distR="0" wp14:anchorId="0D64C877" wp14:editId="43535E72">
            <wp:extent cx="4646428" cy="2923953"/>
            <wp:effectExtent l="0" t="0" r="0" b="0"/>
            <wp:docPr id="13" name="图表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FA0412-9050-47CD-9029-F2761E769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6955ED" w14:textId="038B428C" w:rsidR="002C374A" w:rsidRDefault="00007C72" w:rsidP="00F644AD">
      <w:pPr>
        <w:pStyle w:val="a5"/>
        <w:spacing w:afterLines="50" w:after="156" w:line="300" w:lineRule="auto"/>
        <w:jc w:val="center"/>
        <w:rPr>
          <w:rFonts w:ascii="华文楷体" w:eastAsia="华文楷体" w:hAnsi="华文楷体"/>
        </w:rPr>
      </w:pPr>
      <w:r w:rsidRPr="00007C72">
        <w:rPr>
          <w:rFonts w:ascii="华文楷体" w:eastAsia="华文楷体" w:hAnsi="华文楷体" w:hint="eastAsia"/>
        </w:rPr>
        <w:t xml:space="preserve">图 </w:t>
      </w:r>
      <w:r w:rsidRPr="00007C72">
        <w:rPr>
          <w:rFonts w:ascii="华文楷体" w:eastAsia="华文楷体" w:hAnsi="华文楷体"/>
        </w:rPr>
        <w:fldChar w:fldCharType="begin"/>
      </w:r>
      <w:r w:rsidRPr="00007C72">
        <w:rPr>
          <w:rFonts w:ascii="华文楷体" w:eastAsia="华文楷体" w:hAnsi="华文楷体"/>
        </w:rPr>
        <w:instrText xml:space="preserve"> </w:instrText>
      </w:r>
      <w:r w:rsidRPr="00007C72">
        <w:rPr>
          <w:rFonts w:ascii="华文楷体" w:eastAsia="华文楷体" w:hAnsi="华文楷体" w:hint="eastAsia"/>
        </w:rPr>
        <w:instrText>SEQ 图 \* ARABIC</w:instrText>
      </w:r>
      <w:r w:rsidRPr="00007C72">
        <w:rPr>
          <w:rFonts w:ascii="华文楷体" w:eastAsia="华文楷体" w:hAnsi="华文楷体"/>
        </w:rPr>
        <w:instrText xml:space="preserve"> </w:instrText>
      </w:r>
      <w:r w:rsidRPr="00007C72">
        <w:rPr>
          <w:rFonts w:ascii="华文楷体" w:eastAsia="华文楷体" w:hAnsi="华文楷体"/>
        </w:rPr>
        <w:fldChar w:fldCharType="separate"/>
      </w:r>
      <w:r>
        <w:rPr>
          <w:rFonts w:ascii="华文楷体" w:eastAsia="华文楷体" w:hAnsi="华文楷体"/>
        </w:rPr>
        <w:t>3</w:t>
      </w:r>
      <w:r w:rsidRPr="00007C72">
        <w:rPr>
          <w:rFonts w:ascii="华文楷体" w:eastAsia="华文楷体" w:hAnsi="华文楷体"/>
        </w:rPr>
        <w:fldChar w:fldCharType="end"/>
      </w:r>
      <w:r w:rsidRPr="00007C72">
        <w:rPr>
          <w:rFonts w:ascii="华文楷体" w:eastAsia="华文楷体" w:hAnsi="华文楷体" w:hint="eastAsia"/>
        </w:rPr>
        <w:t>：</w:t>
      </w:r>
      <w:r w:rsidR="002C374A" w:rsidRPr="003628D8">
        <w:rPr>
          <w:rFonts w:ascii="华文楷体" w:eastAsia="华文楷体" w:hAnsi="华文楷体" w:hint="eastAsia"/>
        </w:rPr>
        <w:t>此次疫情对</w:t>
      </w:r>
      <w:r w:rsidR="00367823">
        <w:rPr>
          <w:rFonts w:ascii="华文楷体" w:eastAsia="华文楷体" w:hAnsi="华文楷体" w:hint="eastAsia"/>
        </w:rPr>
        <w:t>企业的影响</w:t>
      </w:r>
    </w:p>
    <w:p w14:paraId="6C2A0751" w14:textId="3B6B2468" w:rsidR="00367823" w:rsidRPr="00367823" w:rsidRDefault="00367823" w:rsidP="00367823">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sidR="00076F81">
        <w:rPr>
          <w:rFonts w:ascii="黑体" w:eastAsia="黑体" w:hAnsi="黑体" w:hint="eastAsia"/>
          <w:sz w:val="20"/>
          <w:szCs w:val="18"/>
        </w:rPr>
        <w:t>影响显著</w:t>
      </w:r>
      <w:r w:rsidRPr="004C3CEC">
        <w:rPr>
          <w:rFonts w:ascii="黑体" w:eastAsia="黑体" w:hAnsi="黑体" w:hint="eastAsia"/>
          <w:sz w:val="20"/>
          <w:szCs w:val="18"/>
        </w:rPr>
        <w:t>＜10。）</w:t>
      </w:r>
    </w:p>
    <w:p w14:paraId="6E0A02C4" w14:textId="46FA00AC" w:rsidR="00367823" w:rsidRPr="00367823" w:rsidRDefault="005F2F16" w:rsidP="00367823">
      <w:pPr>
        <w:spacing w:after="156"/>
        <w:rPr>
          <w:rFonts w:ascii="微软雅黑" w:eastAsia="微软雅黑" w:hAnsi="微软雅黑"/>
          <w:b/>
          <w:bCs/>
        </w:rPr>
      </w:pPr>
      <w:r>
        <w:rPr>
          <w:rFonts w:ascii="微软雅黑" w:eastAsia="微软雅黑" w:hAnsi="微软雅黑" w:hint="eastAsia"/>
          <w:b/>
          <w:bCs/>
        </w:rPr>
        <w:t>七成以上企业表示流动资金仅能支撑企业中短期正常生产经营</w:t>
      </w:r>
    </w:p>
    <w:p w14:paraId="1119197C" w14:textId="0D93C197" w:rsidR="00367823" w:rsidRDefault="00367823" w:rsidP="00017F37">
      <w:pPr>
        <w:spacing w:after="120" w:line="300" w:lineRule="auto"/>
        <w:ind w:firstLineChars="200" w:firstLine="480"/>
        <w:jc w:val="both"/>
      </w:pPr>
      <w:r w:rsidRPr="00367823">
        <w:rPr>
          <w:rFonts w:hint="eastAsia"/>
        </w:rPr>
        <w:t>调研结果显示，</w:t>
      </w:r>
      <w:r w:rsidR="00430A42">
        <w:rPr>
          <w:rFonts w:hint="eastAsia"/>
        </w:rPr>
        <w:t>目前</w:t>
      </w:r>
      <w:r w:rsidR="00584B8E">
        <w:rPr>
          <w:rFonts w:hint="eastAsia"/>
        </w:rPr>
        <w:t>陕西</w:t>
      </w:r>
      <w:r>
        <w:rPr>
          <w:rFonts w:hint="eastAsia"/>
        </w:rPr>
        <w:t>省多数工程勘察设计企业的</w:t>
      </w:r>
      <w:r w:rsidRPr="00367823">
        <w:rPr>
          <w:rFonts w:hint="eastAsia"/>
        </w:rPr>
        <w:t>流动资金只能支撑其半年以内的正常生产运营。其中</w:t>
      </w:r>
      <w:r w:rsidR="00584B8E">
        <w:t>30.8</w:t>
      </w:r>
      <w:r w:rsidR="00584B8E">
        <w:rPr>
          <w:rFonts w:hint="eastAsia"/>
        </w:rPr>
        <w:t>%</w:t>
      </w:r>
      <w:r w:rsidR="00584B8E" w:rsidRPr="00367823">
        <w:rPr>
          <w:rFonts w:hint="eastAsia"/>
        </w:rPr>
        <w:t>的企业表示其流动资金仅能够支撑3至6个月；</w:t>
      </w:r>
      <w:r w:rsidR="00584B8E">
        <w:rPr>
          <w:rFonts w:hint="eastAsia"/>
        </w:rPr>
        <w:t>2</w:t>
      </w:r>
      <w:r w:rsidR="00584B8E">
        <w:t>9.2</w:t>
      </w:r>
      <w:r>
        <w:rPr>
          <w:rFonts w:hint="eastAsia"/>
        </w:rPr>
        <w:t>%</w:t>
      </w:r>
      <w:r w:rsidRPr="00367823">
        <w:rPr>
          <w:rFonts w:hint="eastAsia"/>
        </w:rPr>
        <w:t>的企业表示其流动资金仅能够支撑2至3个月；</w:t>
      </w:r>
      <w:r w:rsidR="003253C6">
        <w:rPr>
          <w:rFonts w:hint="eastAsia"/>
        </w:rPr>
        <w:t>仅</w:t>
      </w:r>
      <w:r w:rsidRPr="00367823">
        <w:rPr>
          <w:rFonts w:hint="eastAsia"/>
        </w:rPr>
        <w:t>有</w:t>
      </w:r>
      <w:r w:rsidR="00584B8E">
        <w:rPr>
          <w:rFonts w:hint="eastAsia"/>
        </w:rPr>
        <w:t>1</w:t>
      </w:r>
      <w:r w:rsidR="00584B8E">
        <w:t>0.8</w:t>
      </w:r>
      <w:r>
        <w:rPr>
          <w:rFonts w:hint="eastAsia"/>
        </w:rPr>
        <w:t>%的</w:t>
      </w:r>
      <w:r w:rsidRPr="00367823">
        <w:rPr>
          <w:rFonts w:hint="eastAsia"/>
        </w:rPr>
        <w:t>企业表示其流动资金能够支撑正常生产运营一年以上。</w:t>
      </w:r>
    </w:p>
    <w:p w14:paraId="0AF35C54" w14:textId="4F4DC84E" w:rsidR="00367823" w:rsidRDefault="00584B8E" w:rsidP="00584B8E">
      <w:pPr>
        <w:spacing w:after="120" w:line="300" w:lineRule="auto"/>
        <w:jc w:val="center"/>
      </w:pPr>
      <w:r>
        <w:rPr>
          <w:noProof/>
        </w:rPr>
        <w:drawing>
          <wp:inline distT="0" distB="0" distL="0" distR="0" wp14:anchorId="3A90E8E1" wp14:editId="563E14BA">
            <wp:extent cx="5211431" cy="1980000"/>
            <wp:effectExtent l="0" t="0" r="0" b="0"/>
            <wp:docPr id="14" name="图表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CC77F-3F21-40A6-BD72-C91368B35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29B16C" w14:textId="191079BC" w:rsidR="00367823"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4</w:t>
      </w:r>
      <w:r w:rsidRPr="00F644AD">
        <w:rPr>
          <w:rFonts w:ascii="华文楷体" w:eastAsia="华文楷体" w:hAnsi="华文楷体"/>
        </w:rPr>
        <w:fldChar w:fldCharType="end"/>
      </w:r>
      <w:r w:rsidRPr="00F644AD">
        <w:rPr>
          <w:rFonts w:ascii="华文楷体" w:eastAsia="华文楷体" w:hAnsi="华文楷体" w:hint="eastAsia"/>
        </w:rPr>
        <w:t>：</w:t>
      </w:r>
      <w:r w:rsidR="00367823" w:rsidRPr="00367823">
        <w:rPr>
          <w:rFonts w:ascii="华文楷体" w:eastAsia="华文楷体" w:hAnsi="华文楷体"/>
        </w:rPr>
        <w:t>目前贵单位流动资金能支撑的时间</w:t>
      </w:r>
    </w:p>
    <w:p w14:paraId="19DA07AD" w14:textId="64AFD10D" w:rsidR="00A41AA2" w:rsidRDefault="00A41AA2" w:rsidP="00691DBC">
      <w:pPr>
        <w:spacing w:after="120" w:line="300" w:lineRule="auto"/>
        <w:ind w:firstLineChars="200" w:firstLine="480"/>
      </w:pPr>
      <w:r w:rsidRPr="00691DBC">
        <w:rPr>
          <w:rFonts w:hint="eastAsia"/>
        </w:rPr>
        <w:t>从不同细分行业流动资金支撑情况来看，</w:t>
      </w:r>
      <w:r w:rsidR="00584B8E">
        <w:rPr>
          <w:rFonts w:hint="eastAsia"/>
        </w:rPr>
        <w:t>市政设计类、专项设计类</w:t>
      </w:r>
      <w:r w:rsidR="00691DBC" w:rsidRPr="00691DBC">
        <w:rPr>
          <w:rFonts w:hint="eastAsia"/>
        </w:rPr>
        <w:t>企业普遍面临流动资金较为紧张的状况。主要受企业规模和企业性质影响，对于业务多元化企业而言，资金来源更加多样，尤其是部分企业</w:t>
      </w:r>
      <w:r w:rsidR="00770EDD">
        <w:rPr>
          <w:rFonts w:hint="eastAsia"/>
        </w:rPr>
        <w:t>通过</w:t>
      </w:r>
      <w:r w:rsidR="00691DBC" w:rsidRPr="00691DBC">
        <w:rPr>
          <w:rFonts w:hint="eastAsia"/>
        </w:rPr>
        <w:t>开展B</w:t>
      </w:r>
      <w:r w:rsidR="00691DBC" w:rsidRPr="00691DBC">
        <w:t>OT</w:t>
      </w:r>
      <w:r w:rsidR="00691DBC" w:rsidRPr="00691DBC">
        <w:rPr>
          <w:rFonts w:hint="eastAsia"/>
        </w:rPr>
        <w:t>或合同能源管理业务</w:t>
      </w:r>
      <w:r w:rsidR="00770EDD">
        <w:rPr>
          <w:rFonts w:hint="eastAsia"/>
        </w:rPr>
        <w:t>能够使现金流保持在较为稳定的水平</w:t>
      </w:r>
      <w:r w:rsidR="00691DBC" w:rsidRPr="00691DBC">
        <w:rPr>
          <w:rFonts w:hint="eastAsia"/>
        </w:rPr>
        <w:t>，抗风险能力较强。</w:t>
      </w:r>
    </w:p>
    <w:p w14:paraId="2294D118" w14:textId="7A3F3FDC" w:rsidR="00D87610" w:rsidRPr="00584B8E" w:rsidRDefault="00584B8E" w:rsidP="00654284">
      <w:pPr>
        <w:spacing w:after="120" w:line="300" w:lineRule="auto"/>
        <w:jc w:val="center"/>
      </w:pPr>
      <w:r>
        <w:rPr>
          <w:rFonts w:hint="eastAsia"/>
          <w:noProof/>
        </w:rPr>
        <w:lastRenderedPageBreak/>
        <w:drawing>
          <wp:inline distT="0" distB="0" distL="0" distR="0" wp14:anchorId="22C4A45F" wp14:editId="6FC07224">
            <wp:extent cx="5071731" cy="2828261"/>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E17CE1" w14:textId="75F1AC77" w:rsidR="00A41AA2" w:rsidRPr="00A41AA2"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5</w:t>
      </w:r>
      <w:r w:rsidRPr="00F644AD">
        <w:rPr>
          <w:rFonts w:ascii="华文楷体" w:eastAsia="华文楷体" w:hAnsi="华文楷体"/>
        </w:rPr>
        <w:fldChar w:fldCharType="end"/>
      </w:r>
      <w:r w:rsidRPr="00F644AD">
        <w:rPr>
          <w:rFonts w:ascii="华文楷体" w:eastAsia="华文楷体" w:hAnsi="华文楷体" w:hint="eastAsia"/>
        </w:rPr>
        <w:t>：</w:t>
      </w:r>
      <w:r w:rsidR="00A41AA2" w:rsidRPr="00A41AA2">
        <w:rPr>
          <w:rFonts w:ascii="华文楷体" w:eastAsia="华文楷体" w:hAnsi="华文楷体" w:hint="eastAsia"/>
        </w:rPr>
        <w:t>不同细分行业流动资金能够支持的时间</w:t>
      </w:r>
    </w:p>
    <w:p w14:paraId="1B884AD6" w14:textId="0DBB269A" w:rsidR="00367823" w:rsidRPr="00367823" w:rsidRDefault="00BC002E" w:rsidP="00367823">
      <w:pPr>
        <w:spacing w:after="156"/>
        <w:rPr>
          <w:rFonts w:ascii="微软雅黑" w:eastAsia="微软雅黑" w:hAnsi="微软雅黑"/>
          <w:b/>
          <w:bCs/>
        </w:rPr>
      </w:pPr>
      <w:r>
        <w:rPr>
          <w:rFonts w:ascii="微软雅黑" w:eastAsia="微软雅黑" w:hAnsi="微软雅黑" w:hint="eastAsia"/>
          <w:b/>
          <w:bCs/>
        </w:rPr>
        <w:t>6</w:t>
      </w:r>
      <w:r>
        <w:rPr>
          <w:rFonts w:ascii="微软雅黑" w:eastAsia="微软雅黑" w:hAnsi="微软雅黑"/>
          <w:b/>
          <w:bCs/>
        </w:rPr>
        <w:t>1.5%</w:t>
      </w:r>
      <w:r>
        <w:rPr>
          <w:rFonts w:ascii="微软雅黑" w:eastAsia="微软雅黑" w:hAnsi="微软雅黑" w:hint="eastAsia"/>
          <w:b/>
          <w:bCs/>
        </w:rPr>
        <w:t>的</w:t>
      </w:r>
      <w:r w:rsidR="00F23969">
        <w:rPr>
          <w:rFonts w:ascii="微软雅黑" w:eastAsia="微软雅黑" w:hAnsi="微软雅黑" w:hint="eastAsia"/>
          <w:b/>
          <w:bCs/>
        </w:rPr>
        <w:t>企业</w:t>
      </w:r>
      <w:r w:rsidR="00367823" w:rsidRPr="00367823">
        <w:rPr>
          <w:rFonts w:ascii="微软雅黑" w:eastAsia="微软雅黑" w:hAnsi="微软雅黑" w:hint="eastAsia"/>
          <w:b/>
          <w:bCs/>
        </w:rPr>
        <w:t>新签合同额同期降幅两成以上</w:t>
      </w:r>
    </w:p>
    <w:p w14:paraId="56ABBBF9" w14:textId="00B6F4F3" w:rsidR="00367823" w:rsidRDefault="00367823" w:rsidP="0085585E">
      <w:pPr>
        <w:spacing w:after="120" w:line="300" w:lineRule="auto"/>
        <w:ind w:firstLineChars="200" w:firstLine="480"/>
      </w:pPr>
      <w:r w:rsidRPr="0085585E">
        <w:rPr>
          <w:rFonts w:hint="eastAsia"/>
        </w:rPr>
        <w:t>调研结果显示，疫情对企业的新签合同额也带来</w:t>
      </w:r>
      <w:r w:rsidR="00B40BCF">
        <w:rPr>
          <w:rFonts w:hint="eastAsia"/>
        </w:rPr>
        <w:t>了</w:t>
      </w:r>
      <w:r w:rsidRPr="0085585E">
        <w:rPr>
          <w:rFonts w:hint="eastAsia"/>
        </w:rPr>
        <w:t>明显影响。其中</w:t>
      </w:r>
      <w:r w:rsidR="00654284">
        <w:rPr>
          <w:rFonts w:hint="eastAsia"/>
        </w:rPr>
        <w:t>6</w:t>
      </w:r>
      <w:r w:rsidR="00654284">
        <w:t>1.5</w:t>
      </w:r>
      <w:r w:rsidRPr="0085585E">
        <w:rPr>
          <w:rFonts w:hint="eastAsia"/>
        </w:rPr>
        <w:t>%的企业表示当前新签合同额与上一年</w:t>
      </w:r>
      <w:r w:rsidR="00691DBC">
        <w:rPr>
          <w:rFonts w:hint="eastAsia"/>
        </w:rPr>
        <w:t>同期</w:t>
      </w:r>
      <w:r w:rsidRPr="0085585E">
        <w:rPr>
          <w:rFonts w:hint="eastAsia"/>
        </w:rPr>
        <w:t>相比下降了20%以上；</w:t>
      </w:r>
      <w:r w:rsidR="00654284">
        <w:rPr>
          <w:rFonts w:hint="eastAsia"/>
        </w:rPr>
        <w:t>2</w:t>
      </w:r>
      <w:r w:rsidR="00654284">
        <w:t>1.5</w:t>
      </w:r>
      <w:r w:rsidR="0085585E">
        <w:rPr>
          <w:rFonts w:hint="eastAsia"/>
        </w:rPr>
        <w:t>%的企业表示下降了10%-20%；</w:t>
      </w:r>
      <w:r w:rsidR="00405F43">
        <w:rPr>
          <w:rFonts w:hint="eastAsia"/>
        </w:rPr>
        <w:t>没有</w:t>
      </w:r>
      <w:r w:rsidRPr="0085585E">
        <w:rPr>
          <w:rFonts w:hint="eastAsia"/>
        </w:rPr>
        <w:t>企业表示其新签合同额有所增长</w:t>
      </w:r>
      <w:r w:rsidR="00985702">
        <w:rPr>
          <w:rFonts w:hint="eastAsia"/>
        </w:rPr>
        <w:t>。</w:t>
      </w:r>
    </w:p>
    <w:p w14:paraId="15571D32" w14:textId="2BF04505" w:rsidR="00367823" w:rsidRDefault="00654284" w:rsidP="00654284">
      <w:pPr>
        <w:spacing w:after="120" w:line="300" w:lineRule="auto"/>
        <w:jc w:val="center"/>
      </w:pPr>
      <w:r>
        <w:rPr>
          <w:noProof/>
        </w:rPr>
        <w:drawing>
          <wp:inline distT="0" distB="0" distL="0" distR="0" wp14:anchorId="4222A3E8" wp14:editId="6435557D">
            <wp:extent cx="5145774" cy="2200940"/>
            <wp:effectExtent l="0" t="0" r="0" b="0"/>
            <wp:docPr id="16" name="图表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6C359E-DE8D-4884-AD89-951150832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07C38E" w14:textId="0A3260EB" w:rsidR="00367823"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6</w:t>
      </w:r>
      <w:r w:rsidRPr="00F644AD">
        <w:rPr>
          <w:rFonts w:ascii="华文楷体" w:eastAsia="华文楷体" w:hAnsi="华文楷体"/>
        </w:rPr>
        <w:fldChar w:fldCharType="end"/>
      </w:r>
      <w:r w:rsidRPr="00F644AD">
        <w:rPr>
          <w:rFonts w:ascii="华文楷体" w:eastAsia="华文楷体" w:hAnsi="华文楷体" w:hint="eastAsia"/>
        </w:rPr>
        <w:t>：</w:t>
      </w:r>
      <w:r w:rsidR="00367823" w:rsidRPr="0085585E">
        <w:rPr>
          <w:rFonts w:ascii="华文楷体" w:eastAsia="华文楷体" w:hAnsi="华文楷体"/>
        </w:rPr>
        <w:t>当前企业新签合同额与上一年同期相比</w:t>
      </w:r>
    </w:p>
    <w:p w14:paraId="20CE1C3B" w14:textId="2811761F" w:rsidR="00F23969" w:rsidRDefault="00F23969" w:rsidP="00F23969">
      <w:pPr>
        <w:spacing w:after="120" w:line="300" w:lineRule="auto"/>
        <w:ind w:firstLineChars="200" w:firstLine="480"/>
      </w:pPr>
      <w:r w:rsidRPr="00F23969">
        <w:rPr>
          <w:rFonts w:hint="eastAsia"/>
        </w:rPr>
        <w:t>从细分行业来看，</w:t>
      </w:r>
      <w:r w:rsidR="00F968B8">
        <w:rPr>
          <w:rFonts w:hint="eastAsia"/>
        </w:rPr>
        <w:t>所有的市政</w:t>
      </w:r>
      <w:r w:rsidR="006A3D33">
        <w:rPr>
          <w:rFonts w:hint="eastAsia"/>
        </w:rPr>
        <w:t>设计类企业、</w:t>
      </w:r>
      <w:r w:rsidR="00D903CD">
        <w:rPr>
          <w:rFonts w:hint="eastAsia"/>
        </w:rPr>
        <w:t>约</w:t>
      </w:r>
      <w:r w:rsidRPr="00F23969">
        <w:rPr>
          <w:rFonts w:hint="eastAsia"/>
        </w:rPr>
        <w:t>8</w:t>
      </w:r>
      <w:r w:rsidRPr="00F23969">
        <w:t>0%</w:t>
      </w:r>
      <w:r w:rsidRPr="00F23969">
        <w:rPr>
          <w:rFonts w:hint="eastAsia"/>
        </w:rPr>
        <w:t>的</w:t>
      </w:r>
      <w:r w:rsidR="00F968B8">
        <w:rPr>
          <w:rFonts w:hint="eastAsia"/>
        </w:rPr>
        <w:t>工程勘察</w:t>
      </w:r>
      <w:r w:rsidR="006A3D33">
        <w:rPr>
          <w:rFonts w:hint="eastAsia"/>
        </w:rPr>
        <w:t>类、</w:t>
      </w:r>
      <w:r w:rsidR="00F968B8">
        <w:rPr>
          <w:rFonts w:hint="eastAsia"/>
        </w:rPr>
        <w:t>约7</w:t>
      </w:r>
      <w:r w:rsidR="00F968B8">
        <w:t>5</w:t>
      </w:r>
      <w:r w:rsidR="00F968B8">
        <w:rPr>
          <w:rFonts w:hint="eastAsia"/>
        </w:rPr>
        <w:t>%的建筑设计</w:t>
      </w:r>
      <w:r w:rsidR="006A3D33">
        <w:rPr>
          <w:rFonts w:hint="eastAsia"/>
        </w:rPr>
        <w:t>类企业</w:t>
      </w:r>
      <w:r w:rsidRPr="00F23969">
        <w:rPr>
          <w:rFonts w:hint="eastAsia"/>
        </w:rPr>
        <w:t>表示新签合同额将下滑</w:t>
      </w:r>
      <w:r w:rsidR="00F968B8">
        <w:t>20</w:t>
      </w:r>
      <w:r w:rsidR="00F968B8">
        <w:rPr>
          <w:rFonts w:hint="eastAsia"/>
        </w:rPr>
        <w:t>%</w:t>
      </w:r>
      <w:r w:rsidRPr="00F23969">
        <w:rPr>
          <w:rFonts w:hint="eastAsia"/>
        </w:rPr>
        <w:t>以上。</w:t>
      </w:r>
      <w:r w:rsidR="006A3D33">
        <w:rPr>
          <w:rFonts w:hint="eastAsia"/>
        </w:rPr>
        <w:t>没有企业</w:t>
      </w:r>
      <w:r w:rsidR="006A3D33" w:rsidRPr="00F23969">
        <w:rPr>
          <w:rFonts w:hint="eastAsia"/>
        </w:rPr>
        <w:t>表示新签合同额</w:t>
      </w:r>
      <w:r w:rsidR="006A3D33">
        <w:rPr>
          <w:rFonts w:hint="eastAsia"/>
        </w:rPr>
        <w:t>与</w:t>
      </w:r>
      <w:r w:rsidR="006A3D33" w:rsidRPr="00F23969">
        <w:rPr>
          <w:rFonts w:hint="eastAsia"/>
        </w:rPr>
        <w:t>上一年同期相比</w:t>
      </w:r>
      <w:r w:rsidR="006A3D33">
        <w:rPr>
          <w:rFonts w:hint="eastAsia"/>
        </w:rPr>
        <w:t>仍保持增长</w:t>
      </w:r>
      <w:r w:rsidR="006A3D33" w:rsidRPr="00F23969">
        <w:rPr>
          <w:rFonts w:hint="eastAsia"/>
        </w:rPr>
        <w:t>。</w:t>
      </w:r>
    </w:p>
    <w:p w14:paraId="24F980B0" w14:textId="64C8A9AA" w:rsidR="00F23969" w:rsidRDefault="00F968B8" w:rsidP="00F968B8">
      <w:pPr>
        <w:spacing w:after="120" w:line="300" w:lineRule="auto"/>
        <w:jc w:val="center"/>
      </w:pPr>
      <w:r>
        <w:rPr>
          <w:rFonts w:hint="eastAsia"/>
          <w:noProof/>
        </w:rPr>
        <w:lastRenderedPageBreak/>
        <w:drawing>
          <wp:inline distT="0" distB="0" distL="0" distR="0" wp14:anchorId="2168848F" wp14:editId="0EA080F2">
            <wp:extent cx="5262999" cy="27432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FF1098" w14:textId="494665A9" w:rsidR="00F23969" w:rsidRPr="007120B0"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7</w:t>
      </w:r>
      <w:r w:rsidRPr="00F644AD">
        <w:rPr>
          <w:rFonts w:ascii="华文楷体" w:eastAsia="华文楷体" w:hAnsi="华文楷体"/>
        </w:rPr>
        <w:fldChar w:fldCharType="end"/>
      </w:r>
      <w:r w:rsidRPr="00F644AD">
        <w:rPr>
          <w:rFonts w:ascii="华文楷体" w:eastAsia="华文楷体" w:hAnsi="华文楷体" w:hint="eastAsia"/>
        </w:rPr>
        <w:t>：</w:t>
      </w:r>
      <w:r w:rsidR="00F23969" w:rsidRPr="00F23969">
        <w:rPr>
          <w:rFonts w:ascii="华文楷体" w:eastAsia="华文楷体" w:hAnsi="华文楷体" w:hint="eastAsia"/>
        </w:rPr>
        <w:t>不同细分行业</w:t>
      </w:r>
      <w:r w:rsidR="00F23969" w:rsidRPr="0085585E">
        <w:rPr>
          <w:rFonts w:ascii="华文楷体" w:eastAsia="华文楷体" w:hAnsi="华文楷体"/>
        </w:rPr>
        <w:t>当前企业新签合同额与上一年同期相比</w:t>
      </w:r>
    </w:p>
    <w:p w14:paraId="3BA74767" w14:textId="3EF3C3DB" w:rsidR="00F23969" w:rsidRPr="00367823" w:rsidRDefault="00F968B8" w:rsidP="00F23969">
      <w:pPr>
        <w:spacing w:after="156"/>
        <w:rPr>
          <w:rFonts w:ascii="微软雅黑" w:eastAsia="微软雅黑" w:hAnsi="微软雅黑"/>
          <w:b/>
          <w:bCs/>
        </w:rPr>
      </w:pPr>
      <w:r>
        <w:rPr>
          <w:rFonts w:ascii="微软雅黑" w:eastAsia="微软雅黑" w:hAnsi="微软雅黑" w:hint="eastAsia"/>
          <w:b/>
          <w:bCs/>
        </w:rPr>
        <w:t>9</w:t>
      </w:r>
      <w:r>
        <w:rPr>
          <w:rFonts w:ascii="微软雅黑" w:eastAsia="微软雅黑" w:hAnsi="微软雅黑"/>
          <w:b/>
          <w:bCs/>
        </w:rPr>
        <w:t>2.4</w:t>
      </w:r>
      <w:r w:rsidR="002F536C">
        <w:rPr>
          <w:rFonts w:ascii="微软雅黑" w:eastAsia="微软雅黑" w:hAnsi="微软雅黑"/>
          <w:b/>
          <w:bCs/>
        </w:rPr>
        <w:t>%</w:t>
      </w:r>
      <w:r w:rsidR="002F536C">
        <w:rPr>
          <w:rFonts w:ascii="微软雅黑" w:eastAsia="微软雅黑" w:hAnsi="微软雅黑" w:hint="eastAsia"/>
          <w:b/>
          <w:bCs/>
        </w:rPr>
        <w:t>的企业表示当前在手合同量</w:t>
      </w:r>
      <w:r w:rsidR="00B40BCF">
        <w:rPr>
          <w:rFonts w:ascii="微软雅黑" w:eastAsia="微软雅黑" w:hAnsi="微软雅黑" w:hint="eastAsia"/>
          <w:b/>
          <w:bCs/>
        </w:rPr>
        <w:t>不足</w:t>
      </w:r>
      <w:r w:rsidR="002F536C">
        <w:rPr>
          <w:rFonts w:ascii="微软雅黑" w:eastAsia="微软雅黑" w:hAnsi="微软雅黑" w:hint="eastAsia"/>
          <w:b/>
          <w:bCs/>
        </w:rPr>
        <w:t>正常经营</w:t>
      </w:r>
      <w:r w:rsidR="00B40BCF">
        <w:rPr>
          <w:rFonts w:ascii="微软雅黑" w:eastAsia="微软雅黑" w:hAnsi="微软雅黑" w:hint="eastAsia"/>
          <w:b/>
          <w:bCs/>
        </w:rPr>
        <w:t>状况下的一半</w:t>
      </w:r>
    </w:p>
    <w:p w14:paraId="26E607DD" w14:textId="144F312D" w:rsidR="00367823" w:rsidRDefault="00367823" w:rsidP="00A620FA">
      <w:pPr>
        <w:spacing w:after="120" w:line="300" w:lineRule="auto"/>
        <w:ind w:firstLineChars="200" w:firstLine="480"/>
        <w:jc w:val="both"/>
      </w:pPr>
      <w:r w:rsidRPr="0085585E">
        <w:rPr>
          <w:rFonts w:hint="eastAsia"/>
        </w:rPr>
        <w:t>调研结果显示，</w:t>
      </w:r>
      <w:r w:rsidR="0046191E">
        <w:rPr>
          <w:rFonts w:hint="eastAsia"/>
        </w:rPr>
        <w:t>与</w:t>
      </w:r>
      <w:r w:rsidRPr="0085585E">
        <w:rPr>
          <w:rFonts w:hint="eastAsia"/>
        </w:rPr>
        <w:t>正常生产经营</w:t>
      </w:r>
      <w:r w:rsidR="0046191E">
        <w:rPr>
          <w:rFonts w:hint="eastAsia"/>
        </w:rPr>
        <w:t>状况相比，</w:t>
      </w:r>
      <w:r w:rsidRPr="0085585E">
        <w:rPr>
          <w:rFonts w:hint="eastAsia"/>
        </w:rPr>
        <w:t>目前企业在手的合同量整体偏低，大多数企业在手合同量</w:t>
      </w:r>
      <w:r w:rsidR="00EE566A">
        <w:rPr>
          <w:rFonts w:hint="eastAsia"/>
        </w:rPr>
        <w:t>不足</w:t>
      </w:r>
      <w:r w:rsidR="00DC399E">
        <w:rPr>
          <w:rFonts w:hint="eastAsia"/>
        </w:rPr>
        <w:t>正常状况下的</w:t>
      </w:r>
      <w:r w:rsidRPr="0085585E">
        <w:rPr>
          <w:rFonts w:hint="eastAsia"/>
        </w:rPr>
        <w:t>50%。其中</w:t>
      </w:r>
      <w:r w:rsidR="00F968B8">
        <w:rPr>
          <w:rFonts w:hint="eastAsia"/>
        </w:rPr>
        <w:t>4</w:t>
      </w:r>
      <w:r w:rsidR="00F968B8">
        <w:t>6.2</w:t>
      </w:r>
      <w:r w:rsidRPr="0085585E">
        <w:rPr>
          <w:rFonts w:hint="eastAsia"/>
        </w:rPr>
        <w:t>%的企业</w:t>
      </w:r>
      <w:r w:rsidR="00003EE1">
        <w:rPr>
          <w:rFonts w:hint="eastAsia"/>
        </w:rPr>
        <w:t>表示其</w:t>
      </w:r>
      <w:r w:rsidRPr="0085585E">
        <w:rPr>
          <w:rFonts w:hint="eastAsia"/>
        </w:rPr>
        <w:t>在手合同量仅能够</w:t>
      </w:r>
      <w:r w:rsidR="00EE566A">
        <w:rPr>
          <w:rFonts w:hint="eastAsia"/>
        </w:rPr>
        <w:t>达到</w:t>
      </w:r>
      <w:r w:rsidRPr="0085585E">
        <w:rPr>
          <w:rFonts w:hint="eastAsia"/>
        </w:rPr>
        <w:t>正常生产运营</w:t>
      </w:r>
      <w:r w:rsidR="00EE566A">
        <w:rPr>
          <w:rFonts w:hint="eastAsia"/>
        </w:rPr>
        <w:t>状况的</w:t>
      </w:r>
      <w:r w:rsidRPr="0085585E">
        <w:rPr>
          <w:rFonts w:hint="eastAsia"/>
        </w:rPr>
        <w:t>30%以下</w:t>
      </w:r>
      <w:r w:rsidR="0085585E">
        <w:rPr>
          <w:rFonts w:hint="eastAsia"/>
        </w:rPr>
        <w:t>，倘若疫情不能尽早结束，</w:t>
      </w:r>
      <w:r w:rsidR="00800257">
        <w:rPr>
          <w:rFonts w:hint="eastAsia"/>
        </w:rPr>
        <w:t>这些</w:t>
      </w:r>
      <w:r w:rsidR="0085585E">
        <w:rPr>
          <w:rFonts w:hint="eastAsia"/>
        </w:rPr>
        <w:t>企业生存压力将逐渐</w:t>
      </w:r>
      <w:r w:rsidR="00800257">
        <w:rPr>
          <w:rFonts w:hint="eastAsia"/>
        </w:rPr>
        <w:t>增</w:t>
      </w:r>
      <w:r w:rsidR="0085585E">
        <w:rPr>
          <w:rFonts w:hint="eastAsia"/>
        </w:rPr>
        <w:t>大</w:t>
      </w:r>
      <w:r w:rsidRPr="0085585E">
        <w:rPr>
          <w:rFonts w:hint="eastAsia"/>
        </w:rPr>
        <w:t>；</w:t>
      </w:r>
      <w:r w:rsidR="00F968B8">
        <w:t>46.2</w:t>
      </w:r>
      <w:r w:rsidRPr="0085585E">
        <w:rPr>
          <w:rFonts w:hint="eastAsia"/>
        </w:rPr>
        <w:t>%的企业表示</w:t>
      </w:r>
      <w:r w:rsidR="00EE566A">
        <w:rPr>
          <w:rFonts w:hint="eastAsia"/>
        </w:rPr>
        <w:t>能</w:t>
      </w:r>
      <w:r w:rsidR="00003EE1">
        <w:rPr>
          <w:rFonts w:hint="eastAsia"/>
        </w:rPr>
        <w:t>达到</w:t>
      </w:r>
      <w:r w:rsidRPr="0085585E">
        <w:rPr>
          <w:rFonts w:hint="eastAsia"/>
        </w:rPr>
        <w:t>正常状况的30%-50%；</w:t>
      </w:r>
      <w:r w:rsidR="00243E15">
        <w:rPr>
          <w:rFonts w:hint="eastAsia"/>
        </w:rPr>
        <w:t>没有任何一家企业表示</w:t>
      </w:r>
      <w:r w:rsidR="00D624C9">
        <w:rPr>
          <w:rFonts w:hint="eastAsia"/>
        </w:rPr>
        <w:t>在手的合同量能够</w:t>
      </w:r>
      <w:r w:rsidR="00003EE1">
        <w:rPr>
          <w:rFonts w:hint="eastAsia"/>
        </w:rPr>
        <w:t>达到正常生产运营状况的</w:t>
      </w:r>
      <w:r w:rsidR="00D624C9">
        <w:rPr>
          <w:rFonts w:hint="eastAsia"/>
        </w:rPr>
        <w:t>9</w:t>
      </w:r>
      <w:r w:rsidR="00D624C9">
        <w:t>0%</w:t>
      </w:r>
      <w:r w:rsidR="00D624C9">
        <w:rPr>
          <w:rFonts w:hint="eastAsia"/>
        </w:rPr>
        <w:t>以上</w:t>
      </w:r>
      <w:r w:rsidRPr="0085585E">
        <w:rPr>
          <w:rFonts w:hint="eastAsia"/>
        </w:rPr>
        <w:t>。</w:t>
      </w:r>
    </w:p>
    <w:p w14:paraId="61C864A0" w14:textId="6793AB60" w:rsidR="00367823" w:rsidRDefault="00F968B8" w:rsidP="00F968B8">
      <w:pPr>
        <w:spacing w:after="120" w:line="300" w:lineRule="auto"/>
        <w:jc w:val="center"/>
      </w:pPr>
      <w:r>
        <w:rPr>
          <w:noProof/>
        </w:rPr>
        <w:drawing>
          <wp:inline distT="0" distB="0" distL="0" distR="0" wp14:anchorId="2B230B03" wp14:editId="452EEB35">
            <wp:extent cx="4997037" cy="1980000"/>
            <wp:effectExtent l="0" t="0" r="0" b="0"/>
            <wp:docPr id="21" name="图表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1C7F41-3D34-4F35-BA90-1678CD00C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C948EE" w14:textId="0DA67FDD" w:rsidR="00367823"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8</w:t>
      </w:r>
      <w:r w:rsidRPr="00F644AD">
        <w:rPr>
          <w:rFonts w:ascii="华文楷体" w:eastAsia="华文楷体" w:hAnsi="华文楷体"/>
        </w:rPr>
        <w:fldChar w:fldCharType="end"/>
      </w:r>
      <w:r w:rsidRPr="00F644AD">
        <w:rPr>
          <w:rFonts w:ascii="华文楷体" w:eastAsia="华文楷体" w:hAnsi="华文楷体" w:hint="eastAsia"/>
        </w:rPr>
        <w:t>：</w:t>
      </w:r>
      <w:r w:rsidR="00367823" w:rsidRPr="0085585E">
        <w:rPr>
          <w:rFonts w:ascii="华文楷体" w:eastAsia="华文楷体" w:hAnsi="华文楷体"/>
        </w:rPr>
        <w:t>按照正常的生产经营状况，目前企业在手的合同量</w:t>
      </w:r>
    </w:p>
    <w:p w14:paraId="2083393E" w14:textId="582B6D7D" w:rsidR="00A620FA" w:rsidRDefault="00E54660" w:rsidP="00A620FA">
      <w:pPr>
        <w:spacing w:after="120" w:line="300" w:lineRule="auto"/>
        <w:ind w:firstLineChars="200" w:firstLine="480"/>
        <w:jc w:val="both"/>
      </w:pPr>
      <w:r w:rsidRPr="00E54660">
        <w:rPr>
          <w:rFonts w:hint="eastAsia"/>
        </w:rPr>
        <w:t>从细分行业来看，</w:t>
      </w:r>
      <w:r w:rsidR="00A56D6F">
        <w:rPr>
          <w:rFonts w:hint="eastAsia"/>
        </w:rPr>
        <w:t>各类</w:t>
      </w:r>
      <w:r w:rsidRPr="00E54660">
        <w:rPr>
          <w:rFonts w:hint="eastAsia"/>
        </w:rPr>
        <w:t>细分行业</w:t>
      </w:r>
      <w:r w:rsidR="00276113">
        <w:rPr>
          <w:rFonts w:hint="eastAsia"/>
        </w:rPr>
        <w:t>内的</w:t>
      </w:r>
      <w:r w:rsidR="00A56D6F">
        <w:rPr>
          <w:rFonts w:hint="eastAsia"/>
        </w:rPr>
        <w:t>大部分</w:t>
      </w:r>
      <w:r w:rsidR="00276113">
        <w:rPr>
          <w:rFonts w:hint="eastAsia"/>
        </w:rPr>
        <w:t>企业均表示</w:t>
      </w:r>
      <w:r w:rsidRPr="00E54660">
        <w:rPr>
          <w:rFonts w:hint="eastAsia"/>
        </w:rPr>
        <w:t>目前在手合同量低于5</w:t>
      </w:r>
      <w:r w:rsidRPr="00E54660">
        <w:t>0%</w:t>
      </w:r>
      <w:r w:rsidRPr="00E54660">
        <w:rPr>
          <w:rFonts w:hint="eastAsia"/>
        </w:rPr>
        <w:t>。</w:t>
      </w:r>
      <w:r w:rsidR="00A620FA">
        <w:rPr>
          <w:rFonts w:hint="eastAsia"/>
        </w:rPr>
        <w:t>仅有5</w:t>
      </w:r>
      <w:r w:rsidR="00A620FA">
        <w:t>%</w:t>
      </w:r>
      <w:r w:rsidR="00A620FA">
        <w:rPr>
          <w:rFonts w:hint="eastAsia"/>
        </w:rPr>
        <w:t>的工业工程设计类企业表示其在手合同量满足7</w:t>
      </w:r>
      <w:r w:rsidR="00A620FA">
        <w:t>0%</w:t>
      </w:r>
      <w:r w:rsidR="00A620FA">
        <w:rPr>
          <w:rFonts w:hint="eastAsia"/>
        </w:rPr>
        <w:t>至9</w:t>
      </w:r>
      <w:r w:rsidR="00A620FA">
        <w:t>0%</w:t>
      </w:r>
      <w:r w:rsidR="00A620FA">
        <w:rPr>
          <w:rFonts w:hint="eastAsia"/>
        </w:rPr>
        <w:t>。</w:t>
      </w:r>
    </w:p>
    <w:p w14:paraId="47A0D7F0" w14:textId="55DAD594" w:rsidR="00D624C9" w:rsidRDefault="00F968B8" w:rsidP="00F968B8">
      <w:pPr>
        <w:spacing w:after="120" w:line="300" w:lineRule="auto"/>
        <w:jc w:val="center"/>
      </w:pPr>
      <w:r>
        <w:rPr>
          <w:rFonts w:hint="eastAsia"/>
          <w:noProof/>
        </w:rPr>
        <w:lastRenderedPageBreak/>
        <w:drawing>
          <wp:inline distT="0" distB="0" distL="0" distR="0" wp14:anchorId="1469FB9D" wp14:editId="26AC024F">
            <wp:extent cx="5274754" cy="2466753"/>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C42A44" w14:textId="5341D4F5" w:rsidR="00E54660" w:rsidRPr="00E54660"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9</w:t>
      </w:r>
      <w:r w:rsidRPr="00F644AD">
        <w:rPr>
          <w:rFonts w:ascii="华文楷体" w:eastAsia="华文楷体" w:hAnsi="华文楷体"/>
        </w:rPr>
        <w:fldChar w:fldCharType="end"/>
      </w:r>
      <w:r w:rsidRPr="00F644AD">
        <w:rPr>
          <w:rFonts w:ascii="华文楷体" w:eastAsia="华文楷体" w:hAnsi="华文楷体" w:hint="eastAsia"/>
        </w:rPr>
        <w:t>：</w:t>
      </w:r>
      <w:r w:rsidR="00E54660" w:rsidRPr="00E54660">
        <w:rPr>
          <w:rFonts w:ascii="华文楷体" w:eastAsia="华文楷体" w:hAnsi="华文楷体" w:hint="eastAsia"/>
        </w:rPr>
        <w:t>不同细分行业</w:t>
      </w:r>
      <w:r w:rsidR="00A1453E">
        <w:rPr>
          <w:rFonts w:ascii="华文楷体" w:eastAsia="华文楷体" w:hAnsi="华文楷体" w:hint="eastAsia"/>
        </w:rPr>
        <w:t>以</w:t>
      </w:r>
      <w:r w:rsidR="00E54660" w:rsidRPr="0085585E">
        <w:rPr>
          <w:rFonts w:ascii="华文楷体" w:eastAsia="华文楷体" w:hAnsi="华文楷体"/>
        </w:rPr>
        <w:t>正常生产经营状况</w:t>
      </w:r>
      <w:r w:rsidR="00A1453E">
        <w:rPr>
          <w:rFonts w:ascii="华文楷体" w:eastAsia="华文楷体" w:hAnsi="华文楷体" w:hint="eastAsia"/>
        </w:rPr>
        <w:t>为参照，</w:t>
      </w:r>
      <w:r w:rsidR="00E54660" w:rsidRPr="0085585E">
        <w:rPr>
          <w:rFonts w:ascii="华文楷体" w:eastAsia="华文楷体" w:hAnsi="华文楷体"/>
        </w:rPr>
        <w:t>目前企业在手的合同量</w:t>
      </w:r>
    </w:p>
    <w:p w14:paraId="47FFC780" w14:textId="1A52DA39" w:rsidR="00367823" w:rsidRPr="003D71D7" w:rsidRDefault="00341230" w:rsidP="003D71D7">
      <w:pPr>
        <w:spacing w:after="156"/>
        <w:rPr>
          <w:rFonts w:ascii="微软雅黑" w:eastAsia="微软雅黑" w:hAnsi="微软雅黑"/>
          <w:b/>
          <w:bCs/>
        </w:rPr>
      </w:pPr>
      <w:r>
        <w:rPr>
          <w:rFonts w:ascii="微软雅黑" w:eastAsia="微软雅黑" w:hAnsi="微软雅黑" w:hint="eastAsia"/>
          <w:b/>
          <w:bCs/>
        </w:rPr>
        <w:t>疫情对于企业的经营成本的影响具有两极性</w:t>
      </w:r>
    </w:p>
    <w:p w14:paraId="3A9548B3" w14:textId="48B6AD37" w:rsidR="00367823" w:rsidRDefault="00367823" w:rsidP="00A620FA">
      <w:pPr>
        <w:spacing w:after="120" w:line="300" w:lineRule="auto"/>
        <w:ind w:firstLineChars="200" w:firstLine="480"/>
        <w:jc w:val="both"/>
      </w:pPr>
      <w:r w:rsidRPr="003D71D7">
        <w:rPr>
          <w:rFonts w:hint="eastAsia"/>
        </w:rPr>
        <w:t>调研结果显示，</w:t>
      </w:r>
      <w:r w:rsidR="00341230">
        <w:rPr>
          <w:rFonts w:hint="eastAsia"/>
        </w:rPr>
        <w:t>疫情对于企业的经营成本的影响出现两极分化的现象</w:t>
      </w:r>
      <w:r w:rsidR="003D71D7">
        <w:rPr>
          <w:rFonts w:hint="eastAsia"/>
        </w:rPr>
        <w:t>。</w:t>
      </w:r>
      <w:r w:rsidR="00F968B8">
        <w:rPr>
          <w:rFonts w:hint="eastAsia"/>
        </w:rPr>
        <w:t>5</w:t>
      </w:r>
      <w:r w:rsidR="00F968B8">
        <w:t>6.9</w:t>
      </w:r>
      <w:r w:rsidR="006771F6">
        <w:rPr>
          <w:rFonts w:hint="eastAsia"/>
        </w:rPr>
        <w:t>%</w:t>
      </w:r>
      <w:r w:rsidRPr="003D71D7">
        <w:rPr>
          <w:rFonts w:hint="eastAsia"/>
        </w:rPr>
        <w:t>的企业表示其经营成本会有所增长，其中</w:t>
      </w:r>
      <w:r w:rsidR="00F968B8">
        <w:t>12.3</w:t>
      </w:r>
      <w:r w:rsidRPr="003D71D7">
        <w:rPr>
          <w:rFonts w:hint="eastAsia"/>
        </w:rPr>
        <w:t>%的企业表示其经营成本会增长20%以上</w:t>
      </w:r>
      <w:r w:rsidR="00341230">
        <w:rPr>
          <w:rFonts w:hint="eastAsia"/>
        </w:rPr>
        <w:t>；</w:t>
      </w:r>
      <w:r w:rsidR="00F968B8">
        <w:t>20</w:t>
      </w:r>
      <w:r w:rsidR="00341230">
        <w:rPr>
          <w:rFonts w:hint="eastAsia"/>
        </w:rPr>
        <w:t>%的企业表示其经营成本会有所降低，其中有</w:t>
      </w:r>
      <w:r w:rsidR="00F968B8">
        <w:t>10.8</w:t>
      </w:r>
      <w:r w:rsidR="00341230">
        <w:rPr>
          <w:rFonts w:hint="eastAsia"/>
        </w:rPr>
        <w:t>%的企业表示其经营成本会降低20%以上。通过调研了解到，造成经营成本降低的因素来自于受业务开拓影响</w:t>
      </w:r>
      <w:r w:rsidR="00C2615F">
        <w:rPr>
          <w:rFonts w:hint="eastAsia"/>
        </w:rPr>
        <w:t>，差旅减少以及</w:t>
      </w:r>
      <w:r w:rsidR="00341230">
        <w:rPr>
          <w:rFonts w:hint="eastAsia"/>
        </w:rPr>
        <w:t>部分企业所采取的裁员以及薪酬调整带来的经营成本降低。</w:t>
      </w:r>
      <w:r w:rsidR="00D05020">
        <w:rPr>
          <w:rFonts w:hint="eastAsia"/>
        </w:rPr>
        <w:t>此外</w:t>
      </w:r>
      <w:r w:rsidR="003D71D7">
        <w:rPr>
          <w:rFonts w:hint="eastAsia"/>
        </w:rPr>
        <w:t>，</w:t>
      </w:r>
      <w:r w:rsidRPr="003D71D7">
        <w:rPr>
          <w:rFonts w:hint="eastAsia"/>
        </w:rPr>
        <w:t>有</w:t>
      </w:r>
      <w:r w:rsidR="00F968B8">
        <w:rPr>
          <w:rFonts w:hint="eastAsia"/>
        </w:rPr>
        <w:t>2</w:t>
      </w:r>
      <w:r w:rsidR="00F968B8">
        <w:t>0.0</w:t>
      </w:r>
      <w:r w:rsidRPr="003D71D7">
        <w:rPr>
          <w:rFonts w:hint="eastAsia"/>
        </w:rPr>
        <w:t>%的</w:t>
      </w:r>
      <w:r w:rsidR="006771F6">
        <w:rPr>
          <w:rFonts w:hint="eastAsia"/>
        </w:rPr>
        <w:t>企业</w:t>
      </w:r>
      <w:r w:rsidRPr="003D71D7">
        <w:rPr>
          <w:rFonts w:hint="eastAsia"/>
        </w:rPr>
        <w:t>表示其经营成本的变化</w:t>
      </w:r>
      <w:r w:rsidR="006771F6">
        <w:rPr>
          <w:rFonts w:hint="eastAsia"/>
        </w:rPr>
        <w:t>尚</w:t>
      </w:r>
      <w:r w:rsidRPr="003D71D7">
        <w:rPr>
          <w:rFonts w:hint="eastAsia"/>
        </w:rPr>
        <w:t>无法判断，需进一步观察分析。</w:t>
      </w:r>
    </w:p>
    <w:p w14:paraId="0C12D4A5" w14:textId="39F61368" w:rsidR="00367823" w:rsidRDefault="00F968B8" w:rsidP="00F968B8">
      <w:pPr>
        <w:spacing w:after="120" w:line="300" w:lineRule="auto"/>
        <w:jc w:val="center"/>
      </w:pPr>
      <w:r>
        <w:rPr>
          <w:noProof/>
        </w:rPr>
        <w:drawing>
          <wp:inline distT="0" distB="0" distL="0" distR="0" wp14:anchorId="62D2BC84" wp14:editId="57872A35">
            <wp:extent cx="5221147" cy="2286000"/>
            <wp:effectExtent l="0" t="0" r="0" b="0"/>
            <wp:docPr id="24" name="图表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8CCAB0-C174-4867-852E-C691CDA71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EEBA2C" w14:textId="7E828AC9" w:rsidR="00E54660" w:rsidRPr="00E54660"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10</w:t>
      </w:r>
      <w:r w:rsidRPr="00F644AD">
        <w:rPr>
          <w:rFonts w:ascii="华文楷体" w:eastAsia="华文楷体" w:hAnsi="华文楷体"/>
        </w:rPr>
        <w:fldChar w:fldCharType="end"/>
      </w:r>
      <w:r w:rsidRPr="00F644AD">
        <w:rPr>
          <w:rFonts w:ascii="华文楷体" w:eastAsia="华文楷体" w:hAnsi="华文楷体" w:hint="eastAsia"/>
        </w:rPr>
        <w:t>：</w:t>
      </w:r>
      <w:r w:rsidR="00367823" w:rsidRPr="00742618">
        <w:rPr>
          <w:rFonts w:ascii="华文楷体" w:eastAsia="华文楷体" w:hAnsi="华文楷体"/>
        </w:rPr>
        <w:t>本次疫情对贵单位的经营成本带来的影响</w:t>
      </w:r>
    </w:p>
    <w:p w14:paraId="14945782" w14:textId="74C12316" w:rsidR="00367823" w:rsidRPr="00742618" w:rsidRDefault="00367823" w:rsidP="00742618">
      <w:pPr>
        <w:spacing w:after="156"/>
        <w:rPr>
          <w:rFonts w:ascii="微软雅黑" w:eastAsia="微软雅黑" w:hAnsi="微软雅黑"/>
          <w:b/>
          <w:bCs/>
        </w:rPr>
      </w:pPr>
      <w:r w:rsidRPr="00742618">
        <w:rPr>
          <w:rFonts w:ascii="微软雅黑" w:eastAsia="微软雅黑" w:hAnsi="微软雅黑"/>
          <w:b/>
          <w:bCs/>
        </w:rPr>
        <w:t>形势不明朗</w:t>
      </w:r>
      <w:r w:rsidR="00742618" w:rsidRPr="00742618">
        <w:rPr>
          <w:rFonts w:ascii="微软雅黑" w:eastAsia="微软雅黑" w:hAnsi="微软雅黑" w:hint="eastAsia"/>
          <w:b/>
          <w:bCs/>
        </w:rPr>
        <w:t>导致</w:t>
      </w:r>
      <w:r w:rsidRPr="00742618">
        <w:rPr>
          <w:rFonts w:ascii="微软雅黑" w:eastAsia="微软雅黑" w:hAnsi="微软雅黑"/>
          <w:b/>
          <w:bCs/>
        </w:rPr>
        <w:t>预期年收入有所下滑，第一季度收入下滑明显</w:t>
      </w:r>
    </w:p>
    <w:p w14:paraId="5636E3D5" w14:textId="3EADB208" w:rsidR="00367823" w:rsidRDefault="00367823" w:rsidP="00DC7892">
      <w:pPr>
        <w:spacing w:after="120" w:line="300" w:lineRule="auto"/>
        <w:ind w:firstLineChars="200" w:firstLine="480"/>
        <w:jc w:val="both"/>
      </w:pPr>
      <w:r w:rsidRPr="00742618">
        <w:lastRenderedPageBreak/>
        <w:t>调研结果显示，多数企业认为</w:t>
      </w:r>
      <w:r w:rsidR="00742618">
        <w:rPr>
          <w:rFonts w:hint="eastAsia"/>
        </w:rPr>
        <w:t>其</w:t>
      </w:r>
      <w:r w:rsidRPr="00742618">
        <w:t>营业收入将有所下滑。</w:t>
      </w:r>
      <w:r w:rsidR="00F968B8">
        <w:rPr>
          <w:rFonts w:hint="eastAsia"/>
        </w:rPr>
        <w:t>4</w:t>
      </w:r>
      <w:r w:rsidR="00F968B8">
        <w:t>0.0</w:t>
      </w:r>
      <w:r w:rsidR="00742618">
        <w:rPr>
          <w:rFonts w:hint="eastAsia"/>
        </w:rPr>
        <w:t>%</w:t>
      </w:r>
      <w:r w:rsidRPr="00742618">
        <w:rPr>
          <w:rFonts w:hint="eastAsia"/>
        </w:rPr>
        <w:t>的</w:t>
      </w:r>
      <w:r w:rsidRPr="00742618">
        <w:t>企业表示其年营业收入会减少</w:t>
      </w:r>
      <w:r w:rsidRPr="00742618">
        <w:rPr>
          <w:rFonts w:hint="eastAsia"/>
        </w:rPr>
        <w:t>10%-20%；</w:t>
      </w:r>
      <w:r w:rsidR="00F968B8">
        <w:rPr>
          <w:rFonts w:hint="eastAsia"/>
        </w:rPr>
        <w:t>2</w:t>
      </w:r>
      <w:r w:rsidR="00F968B8">
        <w:t>6.2</w:t>
      </w:r>
      <w:r w:rsidR="00742618">
        <w:rPr>
          <w:rFonts w:hint="eastAsia"/>
        </w:rPr>
        <w:t>%</w:t>
      </w:r>
      <w:r w:rsidRPr="00742618">
        <w:rPr>
          <w:rFonts w:hint="eastAsia"/>
        </w:rPr>
        <w:t>的企业认为会减少20%-30%；</w:t>
      </w:r>
      <w:r w:rsidR="00F968B8">
        <w:t>13.8</w:t>
      </w:r>
      <w:r w:rsidRPr="00742618">
        <w:rPr>
          <w:rFonts w:hint="eastAsia"/>
        </w:rPr>
        <w:t>%的认为会减少30%以上，整体态度较为悲观。同时，对于第一季度营业收入的预期判断，</w:t>
      </w:r>
      <w:r w:rsidR="00F968B8">
        <w:t>40.0</w:t>
      </w:r>
      <w:r w:rsidRPr="00742618">
        <w:rPr>
          <w:rFonts w:hint="eastAsia"/>
        </w:rPr>
        <w:t>%的企业表示其第一季度营业收入会下滑30%以上，形势更为不乐观。</w:t>
      </w:r>
    </w:p>
    <w:p w14:paraId="12CF45D0" w14:textId="332C9C15" w:rsidR="00367823" w:rsidRDefault="00F968B8" w:rsidP="001E4373">
      <w:pPr>
        <w:spacing w:after="120" w:line="300" w:lineRule="auto"/>
        <w:jc w:val="center"/>
      </w:pPr>
      <w:r>
        <w:rPr>
          <w:noProof/>
        </w:rPr>
        <w:drawing>
          <wp:inline distT="0" distB="0" distL="0" distR="0" wp14:anchorId="1D0671E0" wp14:editId="56602DC8">
            <wp:extent cx="5387458" cy="3600000"/>
            <wp:effectExtent l="0" t="0" r="0" b="0"/>
            <wp:docPr id="32" name="图表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5DB2A3-C83A-4F96-89E4-F33E23F83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B5F177" w14:textId="414ED5A2" w:rsidR="00367823" w:rsidRPr="00742618"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11</w:t>
      </w:r>
      <w:r w:rsidRPr="00F644AD">
        <w:rPr>
          <w:rFonts w:ascii="华文楷体" w:eastAsia="华文楷体" w:hAnsi="华文楷体"/>
        </w:rPr>
        <w:fldChar w:fldCharType="end"/>
      </w:r>
      <w:r w:rsidRPr="00F644AD">
        <w:rPr>
          <w:rFonts w:ascii="华文楷体" w:eastAsia="华文楷体" w:hAnsi="华文楷体" w:hint="eastAsia"/>
        </w:rPr>
        <w:t>：</w:t>
      </w:r>
      <w:r w:rsidR="00367823" w:rsidRPr="00742618">
        <w:rPr>
          <w:rFonts w:ascii="华文楷体" w:eastAsia="华文楷体" w:hAnsi="华文楷体" w:hint="eastAsia"/>
        </w:rPr>
        <w:t>预计年营业收入与第一季度营业收入同比变化</w:t>
      </w:r>
    </w:p>
    <w:p w14:paraId="28DFF1FB" w14:textId="5FCD8DE3" w:rsidR="00367823" w:rsidRPr="00A53043" w:rsidRDefault="00A53043" w:rsidP="00A53043">
      <w:pPr>
        <w:spacing w:after="156"/>
        <w:rPr>
          <w:rFonts w:ascii="微软雅黑" w:eastAsia="微软雅黑" w:hAnsi="微软雅黑"/>
          <w:b/>
          <w:bCs/>
        </w:rPr>
      </w:pPr>
      <w:r w:rsidRPr="00A53043">
        <w:rPr>
          <w:rFonts w:ascii="微软雅黑" w:eastAsia="微软雅黑" w:hAnsi="微软雅黑" w:hint="eastAsia"/>
          <w:b/>
          <w:bCs/>
        </w:rPr>
        <w:t>疫情对企业开展人才工作带来严峻挑战</w:t>
      </w:r>
    </w:p>
    <w:p w14:paraId="6BC9204B" w14:textId="7A0C63BC" w:rsidR="00A53043" w:rsidRPr="008C5AD5" w:rsidRDefault="00725E87" w:rsidP="00E7599C">
      <w:pPr>
        <w:spacing w:after="120" w:line="300" w:lineRule="auto"/>
        <w:ind w:firstLineChars="200" w:firstLine="480"/>
        <w:jc w:val="both"/>
      </w:pPr>
      <w:r w:rsidRPr="008C5AD5">
        <w:rPr>
          <w:rFonts w:hint="eastAsia"/>
        </w:rPr>
        <w:t>各地节后复工延迟的相关文件层出不穷，给企业正常展开人才工作带来了严峻挑战。调研结果显示，“集中性的培训工作不便组织”成为影响最为严重的选项，其得分为</w:t>
      </w:r>
      <w:r w:rsidR="001E4373">
        <w:rPr>
          <w:rFonts w:hint="eastAsia"/>
        </w:rPr>
        <w:t>7.</w:t>
      </w:r>
      <w:r w:rsidR="001E4373">
        <w:t>69</w:t>
      </w:r>
      <w:r w:rsidR="00677F06">
        <w:rPr>
          <w:rFonts w:hint="eastAsia"/>
        </w:rPr>
        <w:t>分</w:t>
      </w:r>
      <w:r w:rsidRPr="008C5AD5">
        <w:rPr>
          <w:rFonts w:hint="eastAsia"/>
        </w:rPr>
        <w:t>。作为技术密集型和智力密集型的企业，</w:t>
      </w:r>
      <w:r w:rsidR="008C5AD5" w:rsidRPr="008C5AD5">
        <w:rPr>
          <w:rFonts w:hint="eastAsia"/>
        </w:rPr>
        <w:t>多数企业会定时展开集中性的培训</w:t>
      </w:r>
      <w:r w:rsidR="00681CA6">
        <w:rPr>
          <w:rFonts w:hint="eastAsia"/>
        </w:rPr>
        <w:t>用以</w:t>
      </w:r>
      <w:r w:rsidR="008C5AD5" w:rsidRPr="008C5AD5">
        <w:rPr>
          <w:rFonts w:hint="eastAsia"/>
        </w:rPr>
        <w:t>提升人员的技术水平</w:t>
      </w:r>
      <w:r w:rsidR="00677F06">
        <w:rPr>
          <w:rFonts w:hint="eastAsia"/>
        </w:rPr>
        <w:t>。</w:t>
      </w:r>
      <w:r w:rsidR="008C5AD5" w:rsidRPr="008C5AD5">
        <w:rPr>
          <w:rFonts w:hint="eastAsia"/>
        </w:rPr>
        <w:t>但是</w:t>
      </w:r>
      <w:r w:rsidR="00677F06">
        <w:rPr>
          <w:rFonts w:hint="eastAsia"/>
        </w:rPr>
        <w:t>在</w:t>
      </w:r>
      <w:r w:rsidR="008C5AD5" w:rsidRPr="008C5AD5">
        <w:rPr>
          <w:rFonts w:hint="eastAsia"/>
        </w:rPr>
        <w:t>当前</w:t>
      </w:r>
      <w:r w:rsidR="007A5899">
        <w:rPr>
          <w:rFonts w:hint="eastAsia"/>
        </w:rPr>
        <w:t>的</w:t>
      </w:r>
      <w:r w:rsidR="008C5AD5" w:rsidRPr="008C5AD5">
        <w:rPr>
          <w:rFonts w:hint="eastAsia"/>
        </w:rPr>
        <w:t>严峻形势下，多数企业</w:t>
      </w:r>
      <w:r w:rsidR="00C00A42">
        <w:rPr>
          <w:rFonts w:hint="eastAsia"/>
        </w:rPr>
        <w:t>只能采取</w:t>
      </w:r>
      <w:r w:rsidR="008C5AD5" w:rsidRPr="008C5AD5">
        <w:rPr>
          <w:rFonts w:hint="eastAsia"/>
        </w:rPr>
        <w:t>远程办公模式，集中性的培训</w:t>
      </w:r>
      <w:r w:rsidR="00C00A42">
        <w:rPr>
          <w:rFonts w:hint="eastAsia"/>
        </w:rPr>
        <w:t>难以</w:t>
      </w:r>
      <w:r w:rsidR="009D6C30">
        <w:rPr>
          <w:rFonts w:hint="eastAsia"/>
        </w:rPr>
        <w:t>有效</w:t>
      </w:r>
      <w:r w:rsidR="00C00A42">
        <w:rPr>
          <w:rFonts w:hint="eastAsia"/>
        </w:rPr>
        <w:t>开展</w:t>
      </w:r>
      <w:r w:rsidR="008C5AD5" w:rsidRPr="008C5AD5">
        <w:rPr>
          <w:rFonts w:hint="eastAsia"/>
        </w:rPr>
        <w:t>。</w:t>
      </w:r>
    </w:p>
    <w:p w14:paraId="4842C6C6" w14:textId="7AF0D871" w:rsidR="00584C20" w:rsidRDefault="008C5AD5" w:rsidP="00E7599C">
      <w:pPr>
        <w:spacing w:after="120" w:line="300" w:lineRule="auto"/>
        <w:ind w:firstLineChars="200" w:firstLine="480"/>
        <w:jc w:val="both"/>
      </w:pPr>
      <w:r w:rsidRPr="008C5AD5">
        <w:rPr>
          <w:rFonts w:hint="eastAsia"/>
        </w:rPr>
        <w:t>其次，</w:t>
      </w:r>
      <w:r w:rsidR="00584C20">
        <w:rPr>
          <w:rFonts w:hint="eastAsia"/>
        </w:rPr>
        <w:t>由于勘察设计行业的传统特性，技术人员习惯于</w:t>
      </w:r>
      <w:r w:rsidR="00267964">
        <w:rPr>
          <w:rFonts w:hint="eastAsia"/>
        </w:rPr>
        <w:t>面对面线下工作以便沟通协作，而面对疫情采用的线上办公导致远程办公</w:t>
      </w:r>
      <w:r w:rsidR="00584C20">
        <w:rPr>
          <w:rFonts w:hint="eastAsia"/>
        </w:rPr>
        <w:t>管理比较困难，效果不佳。</w:t>
      </w:r>
    </w:p>
    <w:p w14:paraId="2A6684A2" w14:textId="7C25F99A" w:rsidR="003E2937" w:rsidRDefault="003E2937" w:rsidP="00E7599C">
      <w:pPr>
        <w:spacing w:after="120" w:line="300" w:lineRule="auto"/>
        <w:ind w:firstLineChars="200" w:firstLine="480"/>
        <w:jc w:val="both"/>
      </w:pPr>
      <w:r>
        <w:rPr>
          <w:rFonts w:hint="eastAsia"/>
        </w:rPr>
        <w:t>同时，也可以明显看到此次疫情对企业人才工作的影响是多方面的。比如</w:t>
      </w:r>
      <w:r w:rsidR="00735353">
        <w:rPr>
          <w:rFonts w:hint="eastAsia"/>
        </w:rPr>
        <w:t>，</w:t>
      </w:r>
      <w:r w:rsidR="00584C20">
        <w:rPr>
          <w:rFonts w:hint="eastAsia"/>
        </w:rPr>
        <w:t>受疫情影响</w:t>
      </w:r>
      <w:r>
        <w:rPr>
          <w:rFonts w:hint="eastAsia"/>
        </w:rPr>
        <w:t>，</w:t>
      </w:r>
      <w:r w:rsidR="00584C20">
        <w:rPr>
          <w:rFonts w:hint="eastAsia"/>
        </w:rPr>
        <w:t>多数人出于保险的心态不会在此时选择离职或者求职，增加线下招聘难度</w:t>
      </w:r>
      <w:r>
        <w:rPr>
          <w:rFonts w:hint="eastAsia"/>
        </w:rPr>
        <w:t>；</w:t>
      </w:r>
      <w:r w:rsidR="00B02A76">
        <w:rPr>
          <w:rFonts w:hint="eastAsia"/>
        </w:rPr>
        <w:t>此外，</w:t>
      </w:r>
      <w:r>
        <w:rPr>
          <w:rFonts w:hint="eastAsia"/>
        </w:rPr>
        <w:t>还有在手合同量的不饱和，导致人才冗余；生产经营成本的提升，营业收入的减少导致很多企业无法承担原有的工资成本，</w:t>
      </w:r>
      <w:r w:rsidR="00B02A76">
        <w:rPr>
          <w:rFonts w:hint="eastAsia"/>
        </w:rPr>
        <w:t>以至于</w:t>
      </w:r>
      <w:r w:rsidR="00F01733">
        <w:rPr>
          <w:rFonts w:hint="eastAsia"/>
        </w:rPr>
        <w:t>部分</w:t>
      </w:r>
      <w:r>
        <w:rPr>
          <w:rFonts w:hint="eastAsia"/>
        </w:rPr>
        <w:t>企业面临裁员或者破产的危险……</w:t>
      </w:r>
    </w:p>
    <w:p w14:paraId="07201226" w14:textId="47F813A6" w:rsidR="00A53043" w:rsidRPr="00367823" w:rsidRDefault="00584C20" w:rsidP="00E7599C">
      <w:pPr>
        <w:spacing w:after="120" w:line="300" w:lineRule="auto"/>
      </w:pPr>
      <w:r>
        <w:rPr>
          <w:noProof/>
        </w:rPr>
        <w:lastRenderedPageBreak/>
        <w:drawing>
          <wp:inline distT="0" distB="0" distL="0" distR="0" wp14:anchorId="60EC6744" wp14:editId="7DC7E3C6">
            <wp:extent cx="5011947" cy="2355011"/>
            <wp:effectExtent l="0" t="0" r="0" b="0"/>
            <wp:docPr id="33" name="图表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A8838D-0B31-46AD-928D-6EB1EC4BD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2AEA01" w14:textId="05D8707C" w:rsidR="002C374A"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12</w:t>
      </w:r>
      <w:r w:rsidRPr="00F644AD">
        <w:rPr>
          <w:rFonts w:ascii="华文楷体" w:eastAsia="华文楷体" w:hAnsi="华文楷体"/>
        </w:rPr>
        <w:fldChar w:fldCharType="end"/>
      </w:r>
      <w:r w:rsidRPr="00F644AD">
        <w:rPr>
          <w:rFonts w:ascii="华文楷体" w:eastAsia="华文楷体" w:hAnsi="华文楷体" w:hint="eastAsia"/>
        </w:rPr>
        <w:t>：</w:t>
      </w:r>
      <w:r w:rsidR="003E2937">
        <w:rPr>
          <w:rFonts w:ascii="华文楷体" w:eastAsia="华文楷体" w:hAnsi="华文楷体" w:hint="eastAsia"/>
        </w:rPr>
        <w:t>疫情对设计院开展人才工作带来的挑战</w:t>
      </w:r>
    </w:p>
    <w:p w14:paraId="44FC18E3" w14:textId="3C59B72B" w:rsidR="00A621AB" w:rsidRPr="00367823" w:rsidRDefault="00A621AB" w:rsidP="00A621AB">
      <w:pPr>
        <w:spacing w:after="120"/>
        <w:rPr>
          <w:rFonts w:ascii="黑体" w:eastAsia="黑体" w:hAnsi="黑体"/>
          <w:sz w:val="20"/>
          <w:szCs w:val="18"/>
        </w:rPr>
      </w:pPr>
      <w:r w:rsidRPr="004C3CEC">
        <w:rPr>
          <w:rFonts w:ascii="黑体" w:eastAsia="黑体" w:hAnsi="黑体" w:hint="eastAsia"/>
          <w:sz w:val="20"/>
          <w:szCs w:val="18"/>
        </w:rPr>
        <w:t>注：采用10分值，分值越大，</w:t>
      </w:r>
      <w:r>
        <w:rPr>
          <w:rFonts w:ascii="黑体" w:eastAsia="黑体" w:hAnsi="黑体" w:hint="eastAsia"/>
          <w:sz w:val="20"/>
          <w:szCs w:val="18"/>
        </w:rPr>
        <w:t>表示挑战越大</w:t>
      </w:r>
    </w:p>
    <w:p w14:paraId="48D288A7" w14:textId="77777777" w:rsidR="00367823" w:rsidRDefault="00367823" w:rsidP="003E2937">
      <w:pPr>
        <w:pStyle w:val="a5"/>
        <w:spacing w:afterLines="50" w:after="156"/>
        <w:jc w:val="center"/>
        <w:rPr>
          <w:rFonts w:ascii="华文楷体" w:eastAsia="华文楷体" w:hAnsi="华文楷体"/>
        </w:rPr>
      </w:pPr>
    </w:p>
    <w:p w14:paraId="7612259C" w14:textId="6A8D4665" w:rsidR="00866172" w:rsidRPr="00866172" w:rsidRDefault="00866172" w:rsidP="00866172">
      <w:pPr>
        <w:sectPr w:rsidR="00866172" w:rsidRPr="00866172">
          <w:pgSz w:w="11906" w:h="16838"/>
          <w:pgMar w:top="1440" w:right="1800" w:bottom="1440" w:left="1800" w:header="851" w:footer="992" w:gutter="0"/>
          <w:cols w:space="425"/>
          <w:docGrid w:type="lines" w:linePitch="312"/>
        </w:sectPr>
      </w:pPr>
    </w:p>
    <w:p w14:paraId="3139BA93" w14:textId="7E272BAD" w:rsidR="002C374A" w:rsidRPr="000539A1" w:rsidRDefault="002C374A" w:rsidP="002C374A">
      <w:pPr>
        <w:spacing w:after="156"/>
        <w:outlineLvl w:val="0"/>
        <w:rPr>
          <w:rFonts w:ascii="微软雅黑" w:eastAsia="微软雅黑" w:hAnsi="微软雅黑"/>
          <w:b/>
          <w:bCs/>
          <w:color w:val="0070C0"/>
          <w:sz w:val="28"/>
          <w:szCs w:val="28"/>
        </w:rPr>
      </w:pPr>
      <w:r w:rsidRPr="000539A1">
        <w:rPr>
          <w:rFonts w:ascii="微软雅黑" w:eastAsia="微软雅黑" w:hAnsi="微软雅黑" w:hint="eastAsia"/>
          <w:b/>
          <w:bCs/>
          <w:color w:val="0070C0"/>
          <w:sz w:val="28"/>
          <w:szCs w:val="28"/>
        </w:rPr>
        <w:lastRenderedPageBreak/>
        <w:t>【</w:t>
      </w:r>
      <w:r w:rsidR="00742618">
        <w:rPr>
          <w:rFonts w:ascii="微软雅黑" w:eastAsia="微软雅黑" w:hAnsi="微软雅黑" w:hint="eastAsia"/>
          <w:b/>
          <w:bCs/>
          <w:color w:val="0070C0"/>
          <w:sz w:val="28"/>
          <w:szCs w:val="28"/>
        </w:rPr>
        <w:t>行业影响</w:t>
      </w:r>
      <w:r w:rsidRPr="000539A1">
        <w:rPr>
          <w:rFonts w:ascii="微软雅黑" w:eastAsia="微软雅黑" w:hAnsi="微软雅黑" w:hint="eastAsia"/>
          <w:b/>
          <w:bCs/>
          <w:color w:val="0070C0"/>
          <w:sz w:val="28"/>
          <w:szCs w:val="28"/>
        </w:rPr>
        <w:t>】</w:t>
      </w:r>
    </w:p>
    <w:p w14:paraId="2003AF18" w14:textId="109340B4" w:rsidR="00505B43" w:rsidRPr="00505B43" w:rsidRDefault="00866172" w:rsidP="00505B43">
      <w:pPr>
        <w:spacing w:after="156"/>
        <w:rPr>
          <w:rFonts w:ascii="微软雅黑" w:eastAsia="微软雅黑" w:hAnsi="微软雅黑"/>
          <w:b/>
          <w:bCs/>
        </w:rPr>
      </w:pPr>
      <w:r>
        <w:rPr>
          <w:rFonts w:ascii="微软雅黑" w:eastAsia="微软雅黑" w:hAnsi="微软雅黑" w:hint="eastAsia"/>
          <w:b/>
          <w:bCs/>
        </w:rPr>
        <w:t>行业</w:t>
      </w:r>
      <w:r w:rsidR="000242B1">
        <w:rPr>
          <w:rFonts w:ascii="微软雅黑" w:eastAsia="微软雅黑" w:hAnsi="微软雅黑" w:hint="eastAsia"/>
          <w:b/>
          <w:bCs/>
        </w:rPr>
        <w:t>整体</w:t>
      </w:r>
      <w:r w:rsidR="00505B43" w:rsidRPr="00505B43">
        <w:rPr>
          <w:rFonts w:ascii="微软雅黑" w:eastAsia="微软雅黑" w:hAnsi="微软雅黑" w:hint="eastAsia"/>
          <w:b/>
          <w:bCs/>
        </w:rPr>
        <w:t>受到疫情</w:t>
      </w:r>
      <w:r w:rsidR="00076F81">
        <w:rPr>
          <w:rFonts w:ascii="微软雅黑" w:eastAsia="微软雅黑" w:hAnsi="微软雅黑" w:hint="eastAsia"/>
          <w:b/>
          <w:bCs/>
        </w:rPr>
        <w:t>影响显著</w:t>
      </w:r>
    </w:p>
    <w:p w14:paraId="4860F333" w14:textId="38568C60" w:rsidR="00505B43" w:rsidRDefault="00505B43" w:rsidP="00E7599C">
      <w:pPr>
        <w:spacing w:after="120" w:line="300" w:lineRule="auto"/>
        <w:ind w:firstLineChars="200" w:firstLine="480"/>
        <w:jc w:val="both"/>
      </w:pPr>
      <w:r w:rsidRPr="00505B43">
        <w:rPr>
          <w:rFonts w:hint="eastAsia"/>
        </w:rPr>
        <w:t>根据调研结果显示，</w:t>
      </w:r>
      <w:r w:rsidR="00866172">
        <w:rPr>
          <w:rFonts w:hint="eastAsia"/>
        </w:rPr>
        <w:t>企业普遍认为</w:t>
      </w:r>
      <w:r w:rsidRPr="00505B43">
        <w:rPr>
          <w:rFonts w:hint="eastAsia"/>
        </w:rPr>
        <w:t>行业受到疫情影响明显，整体得分为7.</w:t>
      </w:r>
      <w:r w:rsidR="004E70FA">
        <w:t>82</w:t>
      </w:r>
      <w:r w:rsidR="00D93846">
        <w:rPr>
          <w:rFonts w:hint="eastAsia"/>
        </w:rPr>
        <w:t>分</w:t>
      </w:r>
      <w:r w:rsidRPr="00505B43">
        <w:rPr>
          <w:rFonts w:hint="eastAsia"/>
        </w:rPr>
        <w:t>。从</w:t>
      </w:r>
      <w:r>
        <w:rPr>
          <w:rFonts w:hint="eastAsia"/>
        </w:rPr>
        <w:t>细分行业</w:t>
      </w:r>
      <w:r w:rsidRPr="00505B43">
        <w:rPr>
          <w:rFonts w:hint="eastAsia"/>
        </w:rPr>
        <w:t>来看，</w:t>
      </w:r>
      <w:r w:rsidR="004E70FA">
        <w:rPr>
          <w:rFonts w:hint="eastAsia"/>
        </w:rPr>
        <w:t>工程勘察类</w:t>
      </w:r>
      <w:r w:rsidR="00230035">
        <w:rPr>
          <w:rFonts w:hint="eastAsia"/>
        </w:rPr>
        <w:t>企业</w:t>
      </w:r>
      <w:r w:rsidRPr="00505B43">
        <w:rPr>
          <w:rFonts w:hint="eastAsia"/>
        </w:rPr>
        <w:t>的业务影响</w:t>
      </w:r>
      <w:r w:rsidR="00BC0035">
        <w:rPr>
          <w:rFonts w:hint="eastAsia"/>
        </w:rPr>
        <w:t>最为</w:t>
      </w:r>
      <w:r>
        <w:rPr>
          <w:rFonts w:hint="eastAsia"/>
        </w:rPr>
        <w:t>严重，其得分为</w:t>
      </w:r>
      <w:r w:rsidR="004E70FA">
        <w:t>9.07</w:t>
      </w:r>
      <w:r w:rsidR="007E3553">
        <w:rPr>
          <w:rFonts w:hint="eastAsia"/>
        </w:rPr>
        <w:t>分</w:t>
      </w:r>
      <w:r w:rsidRPr="00505B43">
        <w:rPr>
          <w:rFonts w:hint="eastAsia"/>
        </w:rPr>
        <w:t>。其次是</w:t>
      </w:r>
      <w:r w:rsidR="004E70FA">
        <w:rPr>
          <w:rFonts w:hint="eastAsia"/>
        </w:rPr>
        <w:t>市政</w:t>
      </w:r>
      <w:r w:rsidR="00230035">
        <w:rPr>
          <w:rFonts w:hint="eastAsia"/>
        </w:rPr>
        <w:t>设计</w:t>
      </w:r>
      <w:r>
        <w:rPr>
          <w:rFonts w:hint="eastAsia"/>
        </w:rPr>
        <w:t>类企业</w:t>
      </w:r>
      <w:r w:rsidRPr="00505B43">
        <w:rPr>
          <w:rFonts w:hint="eastAsia"/>
        </w:rPr>
        <w:t>，得分为</w:t>
      </w:r>
      <w:r w:rsidR="004E70FA">
        <w:t>8.00</w:t>
      </w:r>
      <w:r w:rsidR="007E3553">
        <w:rPr>
          <w:rFonts w:hint="eastAsia"/>
        </w:rPr>
        <w:t>分</w:t>
      </w:r>
      <w:r>
        <w:rPr>
          <w:rFonts w:hint="eastAsia"/>
        </w:rPr>
        <w:t>。</w:t>
      </w:r>
      <w:r w:rsidR="004E70FA">
        <w:rPr>
          <w:rFonts w:hint="eastAsia"/>
        </w:rPr>
        <w:t>其中需要现场作业的工程勘察类企业遭受的影响</w:t>
      </w:r>
      <w:r w:rsidR="00076F81">
        <w:rPr>
          <w:rFonts w:hint="eastAsia"/>
        </w:rPr>
        <w:t>最为</w:t>
      </w:r>
      <w:r w:rsidR="004E70FA">
        <w:rPr>
          <w:rFonts w:hint="eastAsia"/>
        </w:rPr>
        <w:t>突出</w:t>
      </w:r>
      <w:r w:rsidR="000242B1">
        <w:rPr>
          <w:rFonts w:hint="eastAsia"/>
        </w:rPr>
        <w:t>。</w:t>
      </w:r>
    </w:p>
    <w:p w14:paraId="4A5ED04E" w14:textId="005EB87F" w:rsidR="00505B43" w:rsidRPr="00BD6DE4" w:rsidRDefault="004E70FA" w:rsidP="00BD6DE4">
      <w:pPr>
        <w:spacing w:after="120" w:line="300" w:lineRule="auto"/>
      </w:pPr>
      <w:r>
        <w:rPr>
          <w:rFonts w:hint="eastAsia"/>
          <w:noProof/>
        </w:rPr>
        <w:drawing>
          <wp:inline distT="0" distB="0" distL="0" distR="0" wp14:anchorId="108363A7" wp14:editId="1CE068EA">
            <wp:extent cx="5135526" cy="2349795"/>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075E7">
        <w:rPr>
          <w:rFonts w:hint="eastAsia"/>
        </w:rPr>
        <w:t>j</w:t>
      </w:r>
    </w:p>
    <w:p w14:paraId="326A25F1" w14:textId="7D8A9261" w:rsidR="00505B43" w:rsidRPr="00505B43"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13</w:t>
      </w:r>
      <w:r w:rsidRPr="00F644AD">
        <w:rPr>
          <w:rFonts w:ascii="华文楷体" w:eastAsia="华文楷体" w:hAnsi="华文楷体"/>
        </w:rPr>
        <w:fldChar w:fldCharType="end"/>
      </w:r>
      <w:r w:rsidRPr="00F644AD">
        <w:rPr>
          <w:rFonts w:ascii="华文楷体" w:eastAsia="华文楷体" w:hAnsi="华文楷体" w:hint="eastAsia"/>
        </w:rPr>
        <w:t>：</w:t>
      </w:r>
      <w:r w:rsidR="0061574F">
        <w:rPr>
          <w:rFonts w:ascii="华文楷体" w:eastAsia="华文楷体" w:hAnsi="华文楷体" w:hint="eastAsia"/>
        </w:rPr>
        <w:t>不同细分行业认为疫情影响的评价</w:t>
      </w:r>
    </w:p>
    <w:p w14:paraId="2D3E4DB8" w14:textId="440614BE" w:rsidR="00505B43" w:rsidRDefault="00505B43" w:rsidP="00505B43">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sidR="00076F81">
        <w:rPr>
          <w:rFonts w:ascii="黑体" w:eastAsia="黑体" w:hAnsi="黑体" w:hint="eastAsia"/>
          <w:sz w:val="20"/>
          <w:szCs w:val="18"/>
        </w:rPr>
        <w:t>影响显著</w:t>
      </w:r>
      <w:r w:rsidRPr="004C3CEC">
        <w:rPr>
          <w:rFonts w:ascii="黑体" w:eastAsia="黑体" w:hAnsi="黑体" w:hint="eastAsia"/>
          <w:sz w:val="20"/>
          <w:szCs w:val="18"/>
        </w:rPr>
        <w:t>＜10。）</w:t>
      </w:r>
    </w:p>
    <w:p w14:paraId="4A38440A" w14:textId="40E4BFB9" w:rsidR="00505B43" w:rsidRPr="00505B43" w:rsidRDefault="001474B3" w:rsidP="00505B43">
      <w:pPr>
        <w:spacing w:after="156"/>
        <w:rPr>
          <w:rFonts w:ascii="微软雅黑" w:eastAsia="微软雅黑" w:hAnsi="微软雅黑"/>
          <w:b/>
          <w:bCs/>
        </w:rPr>
      </w:pPr>
      <w:r>
        <w:rPr>
          <w:rFonts w:ascii="微软雅黑" w:eastAsia="微软雅黑" w:hAnsi="微软雅黑" w:hint="eastAsia"/>
          <w:b/>
          <w:bCs/>
        </w:rPr>
        <w:t>疫情导致市场需求萎缩</w:t>
      </w:r>
      <w:r w:rsidR="006A1AE6">
        <w:rPr>
          <w:rFonts w:ascii="微软雅黑" w:eastAsia="微软雅黑" w:hAnsi="微软雅黑" w:hint="eastAsia"/>
          <w:b/>
          <w:bCs/>
        </w:rPr>
        <w:t>、加剧市场竞争</w:t>
      </w:r>
    </w:p>
    <w:p w14:paraId="2774769B" w14:textId="73DD1488" w:rsidR="001474B3" w:rsidRDefault="00505B43" w:rsidP="00CB2153">
      <w:pPr>
        <w:spacing w:after="120" w:line="300" w:lineRule="auto"/>
        <w:ind w:firstLineChars="200" w:firstLine="480"/>
        <w:jc w:val="both"/>
      </w:pPr>
      <w:r w:rsidRPr="001474B3">
        <w:rPr>
          <w:rFonts w:hint="eastAsia"/>
        </w:rPr>
        <w:t>调研结果显示，此次疫情对</w:t>
      </w:r>
      <w:r w:rsidR="0007174E">
        <w:rPr>
          <w:rFonts w:hint="eastAsia"/>
        </w:rPr>
        <w:t>陕西</w:t>
      </w:r>
      <w:r w:rsidR="001474B3">
        <w:rPr>
          <w:rFonts w:hint="eastAsia"/>
        </w:rPr>
        <w:t>省工程</w:t>
      </w:r>
      <w:r w:rsidRPr="001474B3">
        <w:rPr>
          <w:rFonts w:hint="eastAsia"/>
        </w:rPr>
        <w:t>勘察设计行业</w:t>
      </w:r>
      <w:r w:rsidR="001474B3">
        <w:rPr>
          <w:rFonts w:hint="eastAsia"/>
        </w:rPr>
        <w:t>诸多方面都造成了不利影响。疫情的全面爆发导致房地产、基础设施建设等投资放缓，市场萎缩。作为</w:t>
      </w:r>
      <w:r w:rsidR="00D22C99">
        <w:rPr>
          <w:rFonts w:hint="eastAsia"/>
        </w:rPr>
        <w:t>为</w:t>
      </w:r>
      <w:r w:rsidR="001474B3">
        <w:rPr>
          <w:rFonts w:hint="eastAsia"/>
        </w:rPr>
        <w:t>房地产、基础设施建设等领域提供专业技术的服务行业，</w:t>
      </w:r>
      <w:r w:rsidR="00D22C99">
        <w:rPr>
          <w:rFonts w:hint="eastAsia"/>
        </w:rPr>
        <w:t>勘察设计行业整体受到不利</w:t>
      </w:r>
      <w:r w:rsidR="001474B3">
        <w:rPr>
          <w:rFonts w:hint="eastAsia"/>
        </w:rPr>
        <w:t>影响</w:t>
      </w:r>
      <w:r w:rsidR="005D51A7">
        <w:rPr>
          <w:rFonts w:hint="eastAsia"/>
        </w:rPr>
        <w:t>较</w:t>
      </w:r>
      <w:r w:rsidR="001474B3">
        <w:rPr>
          <w:rFonts w:hint="eastAsia"/>
        </w:rPr>
        <w:t>大</w:t>
      </w:r>
      <w:r w:rsidR="005D51A7">
        <w:rPr>
          <w:rFonts w:hint="eastAsia"/>
        </w:rPr>
        <w:t>。</w:t>
      </w:r>
      <w:r w:rsidR="001474B3">
        <w:rPr>
          <w:rFonts w:hint="eastAsia"/>
        </w:rPr>
        <w:t>因此</w:t>
      </w:r>
      <w:r w:rsidR="0007174E">
        <w:rPr>
          <w:rFonts w:hint="eastAsia"/>
        </w:rPr>
        <w:t>陕西</w:t>
      </w:r>
      <w:r w:rsidR="001474B3">
        <w:rPr>
          <w:rFonts w:hint="eastAsia"/>
        </w:rPr>
        <w:t>省的勘察设计市场必然受到影响，市场需求放缓，从而进一步导致更多的企业加入到原本已经</w:t>
      </w:r>
      <w:r w:rsidR="00D22C99">
        <w:rPr>
          <w:rFonts w:hint="eastAsia"/>
        </w:rPr>
        <w:t>十分</w:t>
      </w:r>
      <w:r w:rsidR="001474B3">
        <w:rPr>
          <w:rFonts w:hint="eastAsia"/>
        </w:rPr>
        <w:t>激烈的市场中，市场竞争进一步加剧。</w:t>
      </w:r>
    </w:p>
    <w:p w14:paraId="1E3FDD5F" w14:textId="2FE6D166" w:rsidR="00505B43" w:rsidRDefault="00505B43" w:rsidP="00CB2153">
      <w:pPr>
        <w:spacing w:after="120" w:line="300" w:lineRule="auto"/>
        <w:ind w:firstLineChars="200" w:firstLine="480"/>
        <w:jc w:val="both"/>
      </w:pPr>
      <w:r w:rsidRPr="001474B3">
        <w:rPr>
          <w:rFonts w:hint="eastAsia"/>
        </w:rPr>
        <w:t>同时，也可以看到此次疫情对于行业而言，不仅仅是“危”，同样是“机”。加速行业服务升级，</w:t>
      </w:r>
      <w:r w:rsidR="001474B3">
        <w:rPr>
          <w:rFonts w:hint="eastAsia"/>
        </w:rPr>
        <w:t>推进行业市场监管优化等</w:t>
      </w:r>
      <w:r w:rsidR="005D51A7">
        <w:rPr>
          <w:rFonts w:hint="eastAsia"/>
        </w:rPr>
        <w:t>促进</w:t>
      </w:r>
      <w:r w:rsidR="001474B3">
        <w:rPr>
          <w:rFonts w:hint="eastAsia"/>
        </w:rPr>
        <w:t>行业迭代更新的选项</w:t>
      </w:r>
      <w:r w:rsidRPr="001474B3">
        <w:rPr>
          <w:rFonts w:hint="eastAsia"/>
        </w:rPr>
        <w:t>成为</w:t>
      </w:r>
      <w:r w:rsidR="001474B3">
        <w:rPr>
          <w:rFonts w:hint="eastAsia"/>
        </w:rPr>
        <w:t>重要举措</w:t>
      </w:r>
      <w:r w:rsidRPr="001474B3">
        <w:rPr>
          <w:rFonts w:hint="eastAsia"/>
        </w:rPr>
        <w:t>。</w:t>
      </w:r>
    </w:p>
    <w:p w14:paraId="131C44FB" w14:textId="3CA546DC" w:rsidR="00505B43" w:rsidRPr="00BD6DE4" w:rsidRDefault="00BD6DE4" w:rsidP="00BD6DE4">
      <w:pPr>
        <w:spacing w:after="120" w:line="300" w:lineRule="auto"/>
      </w:pPr>
      <w:r>
        <w:rPr>
          <w:rFonts w:hint="eastAsia"/>
          <w:noProof/>
        </w:rPr>
        <w:lastRenderedPageBreak/>
        <w:drawing>
          <wp:inline distT="0" distB="0" distL="0" distR="0" wp14:anchorId="791F05F0" wp14:editId="230558EC">
            <wp:extent cx="4890770" cy="1980000"/>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8EFEE4" w14:textId="3573DBAD" w:rsidR="00505B43" w:rsidRPr="00533EC6"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14</w:t>
      </w:r>
      <w:r w:rsidRPr="00F644AD">
        <w:rPr>
          <w:rFonts w:ascii="华文楷体" w:eastAsia="华文楷体" w:hAnsi="华文楷体"/>
        </w:rPr>
        <w:fldChar w:fldCharType="end"/>
      </w:r>
      <w:r w:rsidRPr="00F644AD">
        <w:rPr>
          <w:rFonts w:ascii="华文楷体" w:eastAsia="华文楷体" w:hAnsi="华文楷体" w:hint="eastAsia"/>
        </w:rPr>
        <w:t>：</w:t>
      </w:r>
      <w:r w:rsidR="00505B43" w:rsidRPr="00533EC6">
        <w:rPr>
          <w:rFonts w:ascii="华文楷体" w:eastAsia="华文楷体" w:hAnsi="华文楷体"/>
        </w:rPr>
        <w:t>本次疫情对行业的影响主要聚焦在哪些方面</w:t>
      </w:r>
    </w:p>
    <w:p w14:paraId="21B52AF8" w14:textId="5A440EEF" w:rsidR="00533EC6" w:rsidRDefault="00533EC6" w:rsidP="00533EC6">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sidR="00076F81">
        <w:rPr>
          <w:rFonts w:ascii="黑体" w:eastAsia="黑体" w:hAnsi="黑体" w:hint="eastAsia"/>
          <w:sz w:val="20"/>
          <w:szCs w:val="18"/>
        </w:rPr>
        <w:t>影响显著</w:t>
      </w:r>
      <w:r w:rsidRPr="004C3CEC">
        <w:rPr>
          <w:rFonts w:ascii="黑体" w:eastAsia="黑体" w:hAnsi="黑体" w:hint="eastAsia"/>
          <w:sz w:val="20"/>
          <w:szCs w:val="18"/>
        </w:rPr>
        <w:t>＜10。）</w:t>
      </w:r>
    </w:p>
    <w:p w14:paraId="134F4187" w14:textId="5B247733" w:rsidR="002C374A" w:rsidRDefault="002A7508" w:rsidP="002A7508">
      <w:pPr>
        <w:spacing w:after="156"/>
        <w:rPr>
          <w:rFonts w:ascii="微软雅黑" w:eastAsia="微软雅黑" w:hAnsi="微软雅黑"/>
          <w:b/>
          <w:bCs/>
        </w:rPr>
      </w:pPr>
      <w:r w:rsidRPr="002A7508">
        <w:rPr>
          <w:rFonts w:ascii="微软雅黑" w:eastAsia="微软雅黑" w:hAnsi="微软雅黑" w:hint="eastAsia"/>
          <w:b/>
          <w:bCs/>
        </w:rPr>
        <w:t>疫情影响下工期延误</w:t>
      </w:r>
      <w:r w:rsidR="00E67134">
        <w:rPr>
          <w:rFonts w:ascii="微软雅黑" w:eastAsia="微软雅黑" w:hAnsi="微软雅黑" w:hint="eastAsia"/>
          <w:b/>
          <w:bCs/>
        </w:rPr>
        <w:t>对</w:t>
      </w:r>
      <w:r w:rsidRPr="002A7508">
        <w:rPr>
          <w:rFonts w:ascii="微软雅黑" w:eastAsia="微软雅黑" w:hAnsi="微软雅黑" w:hint="eastAsia"/>
          <w:b/>
          <w:bCs/>
        </w:rPr>
        <w:t>工程总承包</w:t>
      </w:r>
      <w:r w:rsidR="00E67134">
        <w:rPr>
          <w:rFonts w:ascii="微软雅黑" w:eastAsia="微软雅黑" w:hAnsi="微软雅黑" w:hint="eastAsia"/>
          <w:b/>
          <w:bCs/>
        </w:rPr>
        <w:t>、设计施工一体化等业务</w:t>
      </w:r>
      <w:r w:rsidRPr="002A7508">
        <w:rPr>
          <w:rFonts w:ascii="微软雅黑" w:eastAsia="微软雅黑" w:hAnsi="微软雅黑" w:hint="eastAsia"/>
          <w:b/>
          <w:bCs/>
        </w:rPr>
        <w:t>影响较大</w:t>
      </w:r>
    </w:p>
    <w:p w14:paraId="3CBCE0E4" w14:textId="31912583" w:rsidR="002A7508" w:rsidRDefault="002A7508" w:rsidP="00CB2153">
      <w:pPr>
        <w:spacing w:after="120" w:line="300" w:lineRule="auto"/>
        <w:ind w:firstLineChars="200" w:firstLine="480"/>
        <w:jc w:val="both"/>
      </w:pPr>
      <w:r>
        <w:rPr>
          <w:rFonts w:hint="eastAsia"/>
        </w:rPr>
        <w:t>调研结果显示，工程</w:t>
      </w:r>
      <w:r w:rsidR="0053057E">
        <w:rPr>
          <w:rFonts w:hint="eastAsia"/>
        </w:rPr>
        <w:t>总承包和设计施工一体化</w:t>
      </w:r>
      <w:r w:rsidR="007642E6">
        <w:rPr>
          <w:rFonts w:hint="eastAsia"/>
        </w:rPr>
        <w:t>业务</w:t>
      </w:r>
      <w:r w:rsidR="001A65C3">
        <w:rPr>
          <w:rFonts w:hint="eastAsia"/>
        </w:rPr>
        <w:t>受疫情</w:t>
      </w:r>
      <w:r>
        <w:rPr>
          <w:rFonts w:hint="eastAsia"/>
        </w:rPr>
        <w:t>影响最为明显，其得分</w:t>
      </w:r>
      <w:r w:rsidR="0053057E">
        <w:rPr>
          <w:rFonts w:hint="eastAsia"/>
        </w:rPr>
        <w:t>分别为</w:t>
      </w:r>
      <w:r>
        <w:rPr>
          <w:rFonts w:hint="eastAsia"/>
        </w:rPr>
        <w:t>为7.</w:t>
      </w:r>
      <w:r w:rsidR="0053057E">
        <w:t>75</w:t>
      </w:r>
      <w:r w:rsidR="001A65C3">
        <w:rPr>
          <w:rFonts w:hint="eastAsia"/>
        </w:rPr>
        <w:t>分</w:t>
      </w:r>
      <w:r w:rsidR="0053057E">
        <w:rPr>
          <w:rFonts w:hint="eastAsia"/>
        </w:rPr>
        <w:t>和7</w:t>
      </w:r>
      <w:r w:rsidR="0053057E">
        <w:t>.60</w:t>
      </w:r>
      <w:r w:rsidR="0053057E">
        <w:rPr>
          <w:rFonts w:hint="eastAsia"/>
        </w:rPr>
        <w:t>分</w:t>
      </w:r>
      <w:r>
        <w:rPr>
          <w:rFonts w:hint="eastAsia"/>
        </w:rPr>
        <w:t>。</w:t>
      </w:r>
      <w:r w:rsidRPr="002A7508">
        <w:rPr>
          <w:rFonts w:hint="eastAsia"/>
        </w:rPr>
        <w:t>在疫情防控的特殊阶段，全国多个地方政府已明确发文要求迟延复工</w:t>
      </w:r>
      <w:r w:rsidR="00E80924">
        <w:rPr>
          <w:rFonts w:hint="eastAsia"/>
        </w:rPr>
        <w:t>，对于工程总承包和设计施工一体化</w:t>
      </w:r>
      <w:r w:rsidR="00F10AB9">
        <w:rPr>
          <w:rFonts w:hint="eastAsia"/>
        </w:rPr>
        <w:t>业务造成较大影响。</w:t>
      </w:r>
      <w:r w:rsidR="00BA50B3">
        <w:rPr>
          <w:rFonts w:hint="eastAsia"/>
        </w:rPr>
        <w:t>外加</w:t>
      </w:r>
      <w:r w:rsidRPr="002A7508">
        <w:rPr>
          <w:rFonts w:hint="eastAsia"/>
        </w:rPr>
        <w:t>疫情爆发造成的用工紧缺、原材料上涨等问题</w:t>
      </w:r>
      <w:r w:rsidR="00BA50B3">
        <w:rPr>
          <w:rFonts w:hint="eastAsia"/>
        </w:rPr>
        <w:t>，此次疫情</w:t>
      </w:r>
      <w:r w:rsidR="001A65C3">
        <w:rPr>
          <w:rFonts w:hint="eastAsia"/>
        </w:rPr>
        <w:t>将</w:t>
      </w:r>
      <w:r w:rsidRPr="002A7508">
        <w:rPr>
          <w:rFonts w:hint="eastAsia"/>
        </w:rPr>
        <w:t>不可避免地对</w:t>
      </w:r>
      <w:r>
        <w:rPr>
          <w:rFonts w:hint="eastAsia"/>
        </w:rPr>
        <w:t>正在开展中的项目</w:t>
      </w:r>
      <w:r w:rsidRPr="002A7508">
        <w:rPr>
          <w:rFonts w:hint="eastAsia"/>
        </w:rPr>
        <w:t>造成工期延误</w:t>
      </w:r>
      <w:r w:rsidR="007642E6">
        <w:rPr>
          <w:rFonts w:hint="eastAsia"/>
        </w:rPr>
        <w:t>等</w:t>
      </w:r>
      <w:r w:rsidRPr="002A7508">
        <w:rPr>
          <w:rFonts w:hint="eastAsia"/>
        </w:rPr>
        <w:t>影响。</w:t>
      </w:r>
      <w:r w:rsidR="00F10AB9">
        <w:rPr>
          <w:rFonts w:hint="eastAsia"/>
        </w:rPr>
        <w:t>因此</w:t>
      </w:r>
      <w:r>
        <w:rPr>
          <w:rFonts w:hint="eastAsia"/>
        </w:rPr>
        <w:t>工程总承包</w:t>
      </w:r>
      <w:r w:rsidR="00E80924">
        <w:rPr>
          <w:rFonts w:hint="eastAsia"/>
        </w:rPr>
        <w:t>和设计施工一体化业务受到</w:t>
      </w:r>
      <w:r w:rsidR="00BB5052">
        <w:rPr>
          <w:rFonts w:hint="eastAsia"/>
        </w:rPr>
        <w:t>影响</w:t>
      </w:r>
      <w:r w:rsidR="00E80924">
        <w:rPr>
          <w:rFonts w:hint="eastAsia"/>
        </w:rPr>
        <w:t>明显</w:t>
      </w:r>
      <w:r>
        <w:rPr>
          <w:rFonts w:hint="eastAsia"/>
        </w:rPr>
        <w:t>。</w:t>
      </w:r>
    </w:p>
    <w:p w14:paraId="2858EBAE" w14:textId="770DD269" w:rsidR="00CB2153" w:rsidRDefault="00CB2153" w:rsidP="00CB2153">
      <w:pPr>
        <w:spacing w:after="120" w:line="300" w:lineRule="auto"/>
        <w:ind w:firstLineChars="200" w:firstLine="480"/>
        <w:jc w:val="both"/>
      </w:pPr>
      <w:r>
        <w:rPr>
          <w:rFonts w:hint="eastAsia"/>
        </w:rPr>
        <w:t>此外，施工总承包的实施也对工程勘察设计企业尤其是设计企业的影响尤为重大，此次疫情在一定程度上无疑是加重了这方面的影响，也警示着工程勘察设计企业面对未来工程建设组织模式的变革和发展，其发展路径需要做出改变。</w:t>
      </w:r>
    </w:p>
    <w:p w14:paraId="5C606E62" w14:textId="7E977B55" w:rsidR="002A7508" w:rsidRDefault="0053057E" w:rsidP="00E80924">
      <w:pPr>
        <w:spacing w:after="120" w:line="300" w:lineRule="auto"/>
        <w:jc w:val="center"/>
      </w:pPr>
      <w:r>
        <w:rPr>
          <w:noProof/>
        </w:rPr>
        <w:drawing>
          <wp:inline distT="0" distB="0" distL="0" distR="0" wp14:anchorId="68A2F0DD" wp14:editId="1F59F88D">
            <wp:extent cx="4635796" cy="1980000"/>
            <wp:effectExtent l="0" t="0" r="0" b="0"/>
            <wp:docPr id="41" name="图表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8363EA-944C-4C56-92F1-50E9E9239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5E8699" w14:textId="44721FE9" w:rsidR="00A53043"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15</w:t>
      </w:r>
      <w:r w:rsidRPr="00F644AD">
        <w:rPr>
          <w:rFonts w:ascii="华文楷体" w:eastAsia="华文楷体" w:hAnsi="华文楷体"/>
        </w:rPr>
        <w:fldChar w:fldCharType="end"/>
      </w:r>
      <w:r w:rsidRPr="00F644AD">
        <w:rPr>
          <w:rFonts w:ascii="华文楷体" w:eastAsia="华文楷体" w:hAnsi="华文楷体" w:hint="eastAsia"/>
        </w:rPr>
        <w:t>：</w:t>
      </w:r>
      <w:r w:rsidR="00A53043" w:rsidRPr="00A53043">
        <w:rPr>
          <w:rFonts w:ascii="华文楷体" w:eastAsia="华文楷体" w:hAnsi="华文楷体" w:hint="eastAsia"/>
        </w:rPr>
        <w:t>本次疫情对行业业务的影响</w:t>
      </w:r>
    </w:p>
    <w:p w14:paraId="549342EF" w14:textId="2B672A6D" w:rsidR="00533EC6" w:rsidRPr="00A53043" w:rsidRDefault="00A53043" w:rsidP="00A53043">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sidR="00076F81">
        <w:rPr>
          <w:rFonts w:ascii="黑体" w:eastAsia="黑体" w:hAnsi="黑体" w:hint="eastAsia"/>
          <w:sz w:val="20"/>
          <w:szCs w:val="18"/>
        </w:rPr>
        <w:t>影响显著</w:t>
      </w:r>
      <w:r w:rsidRPr="004C3CEC">
        <w:rPr>
          <w:rFonts w:ascii="黑体" w:eastAsia="黑体" w:hAnsi="黑体" w:hint="eastAsia"/>
          <w:sz w:val="20"/>
          <w:szCs w:val="18"/>
        </w:rPr>
        <w:t>＜10。）</w:t>
      </w:r>
    </w:p>
    <w:p w14:paraId="1A117335" w14:textId="25DAC3B8" w:rsidR="002A7508" w:rsidRPr="002A7508" w:rsidRDefault="002A7508" w:rsidP="002A7508">
      <w:pPr>
        <w:spacing w:after="120"/>
        <w:jc w:val="center"/>
        <w:rPr>
          <w:noProof/>
        </w:rPr>
        <w:sectPr w:rsidR="002A7508" w:rsidRPr="002A7508">
          <w:pgSz w:w="11906" w:h="16838"/>
          <w:pgMar w:top="1440" w:right="1800" w:bottom="1440" w:left="1800" w:header="851" w:footer="992" w:gutter="0"/>
          <w:cols w:space="425"/>
          <w:docGrid w:type="lines" w:linePitch="312"/>
        </w:sectPr>
      </w:pPr>
    </w:p>
    <w:p w14:paraId="39917D9A" w14:textId="6A30A8D4" w:rsidR="00533EC6" w:rsidRPr="00F03D5E" w:rsidRDefault="002C374A" w:rsidP="00F03D5E">
      <w:pPr>
        <w:spacing w:after="156"/>
        <w:outlineLvl w:val="0"/>
        <w:rPr>
          <w:rFonts w:ascii="微软雅黑" w:eastAsia="微软雅黑" w:hAnsi="微软雅黑"/>
          <w:b/>
          <w:bCs/>
          <w:color w:val="0070C0"/>
          <w:sz w:val="28"/>
          <w:szCs w:val="28"/>
        </w:rPr>
      </w:pPr>
      <w:r w:rsidRPr="00177D27">
        <w:rPr>
          <w:rFonts w:ascii="微软雅黑" w:eastAsia="微软雅黑" w:hAnsi="微软雅黑" w:hint="eastAsia"/>
          <w:b/>
          <w:bCs/>
          <w:color w:val="0070C0"/>
          <w:sz w:val="28"/>
          <w:szCs w:val="28"/>
        </w:rPr>
        <w:lastRenderedPageBreak/>
        <w:t>【</w:t>
      </w:r>
      <w:r w:rsidR="00533EC6">
        <w:rPr>
          <w:rFonts w:ascii="微软雅黑" w:eastAsia="微软雅黑" w:hAnsi="微软雅黑" w:hint="eastAsia"/>
          <w:b/>
          <w:bCs/>
          <w:color w:val="0070C0"/>
          <w:sz w:val="28"/>
          <w:szCs w:val="28"/>
        </w:rPr>
        <w:t>企业举措</w:t>
      </w:r>
      <w:r w:rsidRPr="00177D27">
        <w:rPr>
          <w:rFonts w:ascii="微软雅黑" w:eastAsia="微软雅黑" w:hAnsi="微软雅黑" w:hint="eastAsia"/>
          <w:b/>
          <w:bCs/>
          <w:color w:val="0070C0"/>
          <w:sz w:val="28"/>
          <w:szCs w:val="28"/>
        </w:rPr>
        <w:t>】</w:t>
      </w:r>
    </w:p>
    <w:p w14:paraId="1D8C54FD" w14:textId="77777777" w:rsidR="00533EC6" w:rsidRPr="001E6ABA" w:rsidRDefault="00533EC6" w:rsidP="001E6ABA">
      <w:pPr>
        <w:spacing w:after="156"/>
        <w:rPr>
          <w:rFonts w:ascii="微软雅黑" w:eastAsia="微软雅黑" w:hAnsi="微软雅黑"/>
          <w:b/>
          <w:bCs/>
        </w:rPr>
      </w:pPr>
      <w:r w:rsidRPr="001E6ABA">
        <w:rPr>
          <w:rFonts w:ascii="微软雅黑" w:eastAsia="微软雅黑" w:hAnsi="微软雅黑" w:hint="eastAsia"/>
          <w:b/>
          <w:bCs/>
        </w:rPr>
        <w:t>远程办公成为此次疫情的必然选择</w:t>
      </w:r>
    </w:p>
    <w:p w14:paraId="2BA531CC" w14:textId="452E4979" w:rsidR="00533EC6" w:rsidRPr="001E6ABA" w:rsidRDefault="00533EC6" w:rsidP="00FB2B3F">
      <w:pPr>
        <w:spacing w:after="120" w:line="300" w:lineRule="auto"/>
        <w:ind w:firstLineChars="200" w:firstLine="480"/>
        <w:jc w:val="both"/>
      </w:pPr>
      <w:r w:rsidRPr="001E6ABA">
        <w:rPr>
          <w:rFonts w:hint="eastAsia"/>
        </w:rPr>
        <w:t>受疫情</w:t>
      </w:r>
      <w:r w:rsidR="00A77F52">
        <w:rPr>
          <w:rFonts w:hint="eastAsia"/>
        </w:rPr>
        <w:t>影响</w:t>
      </w:r>
      <w:r w:rsidRPr="001E6ABA">
        <w:rPr>
          <w:rFonts w:hint="eastAsia"/>
        </w:rPr>
        <w:t>，</w:t>
      </w:r>
      <w:r w:rsidR="005B063E">
        <w:rPr>
          <w:rFonts w:hint="eastAsia"/>
        </w:rPr>
        <w:t>各地</w:t>
      </w:r>
      <w:r w:rsidRPr="001E6ABA">
        <w:rPr>
          <w:rFonts w:hint="eastAsia"/>
        </w:rPr>
        <w:t>节后复工受到限制。越来越多</w:t>
      </w:r>
      <w:r w:rsidR="00A518BE">
        <w:rPr>
          <w:rFonts w:hint="eastAsia"/>
        </w:rPr>
        <w:t>的</w:t>
      </w:r>
      <w:r w:rsidRPr="001E6ABA">
        <w:rPr>
          <w:rFonts w:hint="eastAsia"/>
        </w:rPr>
        <w:t>企业开始</w:t>
      </w:r>
      <w:r w:rsidRPr="001E6ABA">
        <w:t>开展远程办公，支持企业快速恢复生产能力，减少疫情对于企业和社会经济的</w:t>
      </w:r>
      <w:r w:rsidR="00A518BE">
        <w:rPr>
          <w:rFonts w:hint="eastAsia"/>
        </w:rPr>
        <w:t>负面</w:t>
      </w:r>
      <w:r w:rsidRPr="001E6ABA">
        <w:t>影响</w:t>
      </w:r>
      <w:r w:rsidRPr="001E6ABA">
        <w:rPr>
          <w:rFonts w:hint="eastAsia"/>
        </w:rPr>
        <w:t>。调研结果</w:t>
      </w:r>
      <w:r w:rsidR="00716468">
        <w:rPr>
          <w:rFonts w:hint="eastAsia"/>
        </w:rPr>
        <w:t>显示</w:t>
      </w:r>
      <w:r w:rsidRPr="001E6ABA">
        <w:rPr>
          <w:rFonts w:hint="eastAsia"/>
        </w:rPr>
        <w:t>，远程办公成为企业面对此次疫情采取的必然选择，其比例高达</w:t>
      </w:r>
      <w:r w:rsidR="00E80924">
        <w:t>90.8</w:t>
      </w:r>
      <w:r w:rsidR="001E6ABA" w:rsidRPr="001E6ABA">
        <w:rPr>
          <w:rFonts w:hint="eastAsia"/>
        </w:rPr>
        <w:t>%</w:t>
      </w:r>
      <w:r w:rsidRPr="001E6ABA">
        <w:rPr>
          <w:rFonts w:hint="eastAsia"/>
        </w:rPr>
        <w:t>。</w:t>
      </w:r>
    </w:p>
    <w:p w14:paraId="0F07879C" w14:textId="20D56FDE" w:rsidR="001E6ABA" w:rsidRDefault="00661A12" w:rsidP="00FB2B3F">
      <w:pPr>
        <w:spacing w:after="120" w:line="300" w:lineRule="auto"/>
        <w:ind w:firstLineChars="200" w:firstLine="480"/>
        <w:jc w:val="both"/>
      </w:pPr>
      <w:r w:rsidRPr="00661A12">
        <w:rPr>
          <w:rFonts w:hint="eastAsia"/>
        </w:rPr>
        <w:t>任何外部环境的重大变化都是企业战略调整的时机，甚至</w:t>
      </w:r>
      <w:r w:rsidR="00D9061A">
        <w:rPr>
          <w:rFonts w:hint="eastAsia"/>
        </w:rPr>
        <w:t>会逼迫企业</w:t>
      </w:r>
      <w:r w:rsidRPr="00661A12">
        <w:rPr>
          <w:rFonts w:hint="eastAsia"/>
        </w:rPr>
        <w:t>不得不做</w:t>
      </w:r>
      <w:r w:rsidR="00D9061A">
        <w:rPr>
          <w:rFonts w:hint="eastAsia"/>
        </w:rPr>
        <w:t>出</w:t>
      </w:r>
      <w:r w:rsidRPr="00661A12">
        <w:rPr>
          <w:rFonts w:hint="eastAsia"/>
        </w:rPr>
        <w:t>战略调整。</w:t>
      </w:r>
      <w:r w:rsidR="00F03895">
        <w:rPr>
          <w:rFonts w:hint="eastAsia"/>
        </w:rPr>
        <w:t>因此</w:t>
      </w:r>
      <w:r>
        <w:rPr>
          <w:rFonts w:hint="eastAsia"/>
        </w:rPr>
        <w:t>，在</w:t>
      </w:r>
      <w:r w:rsidR="001E6ABA" w:rsidRPr="001E6ABA">
        <w:rPr>
          <w:rFonts w:hint="eastAsia"/>
        </w:rPr>
        <w:t>面对疫情的直接影响和应对</w:t>
      </w:r>
      <w:r w:rsidR="001E6ABA">
        <w:rPr>
          <w:rFonts w:hint="eastAsia"/>
        </w:rPr>
        <w:t>不确定</w:t>
      </w:r>
      <w:r w:rsidR="00B05BF7">
        <w:rPr>
          <w:rFonts w:hint="eastAsia"/>
        </w:rPr>
        <w:t>性</w:t>
      </w:r>
      <w:r w:rsidR="001E6ABA" w:rsidRPr="001E6ABA">
        <w:rPr>
          <w:rFonts w:hint="eastAsia"/>
        </w:rPr>
        <w:t>风险</w:t>
      </w:r>
      <w:r>
        <w:rPr>
          <w:rFonts w:hint="eastAsia"/>
        </w:rPr>
        <w:t>时</w:t>
      </w:r>
      <w:r w:rsidR="001E6ABA" w:rsidRPr="001E6ABA">
        <w:rPr>
          <w:rFonts w:hint="eastAsia"/>
        </w:rPr>
        <w:t>，积极调整经营方式、创新服务模式也成为诸多企业已经采取或者准备</w:t>
      </w:r>
      <w:r w:rsidR="004E59C5">
        <w:rPr>
          <w:rFonts w:hint="eastAsia"/>
        </w:rPr>
        <w:t>实施</w:t>
      </w:r>
      <w:r w:rsidR="001E6ABA" w:rsidRPr="001E6ABA">
        <w:rPr>
          <w:rFonts w:hint="eastAsia"/>
        </w:rPr>
        <w:t>的重要举措。</w:t>
      </w:r>
    </w:p>
    <w:p w14:paraId="7B742850" w14:textId="41FAEFFF" w:rsidR="00533EC6" w:rsidRPr="00E80924" w:rsidRDefault="00E80924" w:rsidP="00E80924">
      <w:pPr>
        <w:spacing w:after="120" w:line="300" w:lineRule="auto"/>
      </w:pPr>
      <w:r>
        <w:rPr>
          <w:noProof/>
        </w:rPr>
        <w:drawing>
          <wp:inline distT="0" distB="0" distL="0" distR="0" wp14:anchorId="15BE5C0A" wp14:editId="30408041">
            <wp:extent cx="5124450" cy="2609850"/>
            <wp:effectExtent l="0" t="0" r="0" b="0"/>
            <wp:docPr id="55" name="图表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02E5AD-33B2-4D2E-AD92-5E56BF097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3B70A9" w14:textId="30CA22FF" w:rsidR="00533EC6" w:rsidRPr="001E6ABA"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16</w:t>
      </w:r>
      <w:r w:rsidRPr="00F644AD">
        <w:rPr>
          <w:rFonts w:ascii="华文楷体" w:eastAsia="华文楷体" w:hAnsi="华文楷体"/>
        </w:rPr>
        <w:fldChar w:fldCharType="end"/>
      </w:r>
      <w:r w:rsidRPr="00F644AD">
        <w:rPr>
          <w:rFonts w:ascii="华文楷体" w:eastAsia="华文楷体" w:hAnsi="华文楷体" w:hint="eastAsia"/>
        </w:rPr>
        <w:t>：</w:t>
      </w:r>
      <w:r w:rsidR="00533EC6" w:rsidRPr="001E6ABA">
        <w:rPr>
          <w:rFonts w:ascii="华文楷体" w:eastAsia="华文楷体" w:hAnsi="华文楷体"/>
        </w:rPr>
        <w:t>面对疫情影响，目前贵单位计划采取哪些措施</w:t>
      </w:r>
    </w:p>
    <w:p w14:paraId="67C9C6D9" w14:textId="18ADAA16" w:rsidR="00F03D5E" w:rsidRPr="00533EC6" w:rsidRDefault="00F03D5E" w:rsidP="00F03D5E">
      <w:pPr>
        <w:spacing w:after="156"/>
        <w:rPr>
          <w:rFonts w:ascii="微软雅黑" w:eastAsia="微软雅黑" w:hAnsi="微软雅黑"/>
          <w:b/>
          <w:bCs/>
        </w:rPr>
      </w:pPr>
      <w:r w:rsidRPr="00533EC6">
        <w:rPr>
          <w:rFonts w:ascii="微软雅黑" w:eastAsia="微软雅黑" w:hAnsi="微软雅黑" w:hint="eastAsia"/>
          <w:b/>
          <w:bCs/>
        </w:rPr>
        <w:t>急需</w:t>
      </w:r>
      <w:r w:rsidR="00C72741">
        <w:rPr>
          <w:rFonts w:ascii="微软雅黑" w:eastAsia="微软雅黑" w:hAnsi="微软雅黑" w:hint="eastAsia"/>
          <w:b/>
          <w:bCs/>
        </w:rPr>
        <w:t>优化办公方式、强化</w:t>
      </w:r>
      <w:r w:rsidR="001E6ABA">
        <w:rPr>
          <w:rFonts w:ascii="微软雅黑" w:eastAsia="微软雅黑" w:hAnsi="微软雅黑" w:hint="eastAsia"/>
          <w:b/>
          <w:bCs/>
        </w:rPr>
        <w:t>企业风险管理能力和信息化应用水平</w:t>
      </w:r>
    </w:p>
    <w:p w14:paraId="42DE5A02" w14:textId="15F91039" w:rsidR="00F03D5E" w:rsidRDefault="00F03D5E" w:rsidP="00E80924">
      <w:pPr>
        <w:spacing w:after="120" w:line="300" w:lineRule="auto"/>
        <w:ind w:firstLineChars="200" w:firstLine="480"/>
      </w:pPr>
      <w:r w:rsidRPr="00533EC6">
        <w:rPr>
          <w:rFonts w:hint="eastAsia"/>
        </w:rPr>
        <w:t>调研结果显示，</w:t>
      </w:r>
      <w:r w:rsidR="00661A12">
        <w:rPr>
          <w:rFonts w:hint="eastAsia"/>
        </w:rPr>
        <w:t>多数企业表示</w:t>
      </w:r>
      <w:r w:rsidR="00C72741">
        <w:rPr>
          <w:rFonts w:hint="eastAsia"/>
        </w:rPr>
        <w:t>需要</w:t>
      </w:r>
      <w:r w:rsidR="00E80924">
        <w:rPr>
          <w:rFonts w:hint="eastAsia"/>
        </w:rPr>
        <w:t>提升企业信息化应用水平，调整优化办公方式，以便企业能够在未来从容应对各种危机</w:t>
      </w:r>
      <w:r w:rsidRPr="00533EC6">
        <w:rPr>
          <w:rFonts w:hint="eastAsia"/>
        </w:rPr>
        <w:t>。</w:t>
      </w:r>
      <w:r w:rsidR="00661A12" w:rsidRPr="00661A12">
        <w:rPr>
          <w:rFonts w:hint="eastAsia"/>
        </w:rPr>
        <w:t>突发事件考验的不仅仅是政府的治理能力，也考验着企业的核心竞争能力</w:t>
      </w:r>
      <w:r w:rsidR="00325FA2">
        <w:rPr>
          <w:rFonts w:hint="eastAsia"/>
        </w:rPr>
        <w:t>、</w:t>
      </w:r>
      <w:r w:rsidR="00661A12" w:rsidRPr="00661A12">
        <w:rPr>
          <w:rFonts w:hint="eastAsia"/>
        </w:rPr>
        <w:t>企业的应变能力和经营厚度。</w:t>
      </w:r>
    </w:p>
    <w:p w14:paraId="1B47BC22" w14:textId="49AA35E4" w:rsidR="00661A12" w:rsidRDefault="00240DC6" w:rsidP="00F03D5E">
      <w:pPr>
        <w:spacing w:after="120" w:line="300" w:lineRule="auto"/>
        <w:ind w:firstLineChars="200" w:firstLine="480"/>
      </w:pPr>
      <w:r>
        <w:rPr>
          <w:rFonts w:hint="eastAsia"/>
        </w:rPr>
        <w:t>即便没有疫情，</w:t>
      </w:r>
      <w:r w:rsidR="00661A12" w:rsidRPr="00661A12">
        <w:rPr>
          <w:rFonts w:hint="eastAsia"/>
        </w:rPr>
        <w:t>设计行业</w:t>
      </w:r>
      <w:r>
        <w:rPr>
          <w:rFonts w:hint="eastAsia"/>
        </w:rPr>
        <w:t>自身</w:t>
      </w:r>
      <w:r w:rsidR="00661A12" w:rsidRPr="00661A12">
        <w:rPr>
          <w:rFonts w:hint="eastAsia"/>
        </w:rPr>
        <w:t>也面临着重大转变</w:t>
      </w:r>
      <w:r>
        <w:rPr>
          <w:rFonts w:hint="eastAsia"/>
        </w:rPr>
        <w:t>。</w:t>
      </w:r>
      <w:r w:rsidR="00661A12" w:rsidRPr="00661A12">
        <w:rPr>
          <w:rFonts w:hint="eastAsia"/>
        </w:rPr>
        <w:t>设计企业加快信息化建设、大数据开发，可以减少标准设计工作量，特别是对于标准化设计基础数据模型</w:t>
      </w:r>
      <w:r w:rsidR="00325FA2" w:rsidRPr="00661A12">
        <w:rPr>
          <w:rFonts w:hint="eastAsia"/>
        </w:rPr>
        <w:t>探索</w:t>
      </w:r>
      <w:r w:rsidR="00661A12" w:rsidRPr="00661A12">
        <w:rPr>
          <w:rFonts w:hint="eastAsia"/>
        </w:rPr>
        <w:t>，</w:t>
      </w:r>
      <w:r w:rsidR="00D27F64">
        <w:rPr>
          <w:rFonts w:hint="eastAsia"/>
        </w:rPr>
        <w:t>能够</w:t>
      </w:r>
      <w:r w:rsidR="00661A12" w:rsidRPr="00661A12">
        <w:rPr>
          <w:rFonts w:hint="eastAsia"/>
        </w:rPr>
        <w:t>为未来标准模块的自动设计创造条件，也为减少设计失误提供基本保障。</w:t>
      </w:r>
      <w:r w:rsidR="00661A12">
        <w:rPr>
          <w:rFonts w:hint="eastAsia"/>
        </w:rPr>
        <w:t>此次疫情无疑加速了企业信息化建设</w:t>
      </w:r>
      <w:r w:rsidR="00D27F64">
        <w:rPr>
          <w:rFonts w:hint="eastAsia"/>
        </w:rPr>
        <w:t>的步伐</w:t>
      </w:r>
      <w:r w:rsidR="00661A12">
        <w:rPr>
          <w:rFonts w:hint="eastAsia"/>
        </w:rPr>
        <w:t>，迫使企业不得不尽快提升信息化应用水平来减少远程设计所带来的误差。</w:t>
      </w:r>
    </w:p>
    <w:p w14:paraId="672FDD22" w14:textId="7ABC79FF" w:rsidR="00F03D5E" w:rsidRDefault="00E80924" w:rsidP="00E80924">
      <w:pPr>
        <w:spacing w:after="120" w:line="300" w:lineRule="auto"/>
      </w:pPr>
      <w:r>
        <w:rPr>
          <w:noProof/>
        </w:rPr>
        <w:lastRenderedPageBreak/>
        <w:drawing>
          <wp:inline distT="0" distB="0" distL="0" distR="0" wp14:anchorId="3D146607" wp14:editId="7133868A">
            <wp:extent cx="5124450" cy="2600325"/>
            <wp:effectExtent l="0" t="0" r="0" b="0"/>
            <wp:docPr id="56" name="图表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3A4368-7D1C-4715-A661-47D1D506A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435C76" w14:textId="7A84B92E" w:rsidR="00F03D5E"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17</w:t>
      </w:r>
      <w:r w:rsidRPr="00F644AD">
        <w:rPr>
          <w:rFonts w:ascii="华文楷体" w:eastAsia="华文楷体" w:hAnsi="华文楷体"/>
        </w:rPr>
        <w:fldChar w:fldCharType="end"/>
      </w:r>
      <w:r w:rsidRPr="00F644AD">
        <w:rPr>
          <w:rFonts w:ascii="华文楷体" w:eastAsia="华文楷体" w:hAnsi="华文楷体" w:hint="eastAsia"/>
        </w:rPr>
        <w:t>：</w:t>
      </w:r>
      <w:r w:rsidR="001355EE" w:rsidRPr="001355EE">
        <w:rPr>
          <w:rFonts w:ascii="华文楷体" w:eastAsia="华文楷体" w:hAnsi="华文楷体" w:hint="eastAsia"/>
        </w:rPr>
        <w:t>企业需要提升的能力建设</w:t>
      </w:r>
    </w:p>
    <w:p w14:paraId="33581812" w14:textId="7F833962" w:rsidR="00007C72" w:rsidRPr="00007C72" w:rsidRDefault="00007C72" w:rsidP="00007C72">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Pr>
          <w:rFonts w:ascii="黑体" w:eastAsia="黑体" w:hAnsi="黑体" w:hint="eastAsia"/>
          <w:sz w:val="20"/>
          <w:szCs w:val="18"/>
        </w:rPr>
        <w:t>影响显著</w:t>
      </w:r>
      <w:r w:rsidRPr="004C3CEC">
        <w:rPr>
          <w:rFonts w:ascii="黑体" w:eastAsia="黑体" w:hAnsi="黑体" w:hint="eastAsia"/>
          <w:sz w:val="20"/>
          <w:szCs w:val="18"/>
        </w:rPr>
        <w:t>＜10。）</w:t>
      </w:r>
    </w:p>
    <w:p w14:paraId="063E07B7" w14:textId="7B55A045" w:rsidR="00450DCA" w:rsidRPr="00450DCA" w:rsidRDefault="00450DCA" w:rsidP="00450DCA">
      <w:pPr>
        <w:spacing w:after="156"/>
        <w:rPr>
          <w:rFonts w:ascii="微软雅黑" w:eastAsia="微软雅黑" w:hAnsi="微软雅黑"/>
          <w:b/>
          <w:bCs/>
        </w:rPr>
      </w:pPr>
      <w:r w:rsidRPr="00450DCA">
        <w:rPr>
          <w:rFonts w:ascii="微软雅黑" w:eastAsia="微软雅黑" w:hAnsi="微软雅黑" w:hint="eastAsia"/>
          <w:b/>
          <w:bCs/>
        </w:rPr>
        <w:t>疫情让企业开始重视人文关怀，</w:t>
      </w:r>
      <w:r w:rsidR="00F832B1">
        <w:rPr>
          <w:rFonts w:ascii="微软雅黑" w:eastAsia="微软雅黑" w:hAnsi="微软雅黑" w:hint="eastAsia"/>
          <w:b/>
          <w:bCs/>
        </w:rPr>
        <w:t>加速远程服务能力</w:t>
      </w:r>
    </w:p>
    <w:p w14:paraId="5EF54031" w14:textId="41556A84" w:rsidR="00747FD8" w:rsidRDefault="00450DCA" w:rsidP="00325FA2">
      <w:pPr>
        <w:spacing w:after="120" w:line="300" w:lineRule="auto"/>
        <w:ind w:firstLineChars="200" w:firstLine="480"/>
        <w:jc w:val="both"/>
      </w:pPr>
      <w:r w:rsidRPr="00450DCA">
        <w:rPr>
          <w:rFonts w:hint="eastAsia"/>
        </w:rPr>
        <w:t>调研结果</w:t>
      </w:r>
      <w:r w:rsidR="00E80B40">
        <w:rPr>
          <w:rFonts w:hint="eastAsia"/>
        </w:rPr>
        <w:t>显示</w:t>
      </w:r>
      <w:r w:rsidRPr="00450DCA">
        <w:rPr>
          <w:rFonts w:hint="eastAsia"/>
        </w:rPr>
        <w:t>，“关注员工心理状态、增强人文关怀”是当下企业人才工作</w:t>
      </w:r>
      <w:r w:rsidR="000E5784">
        <w:rPr>
          <w:rFonts w:hint="eastAsia"/>
        </w:rPr>
        <w:t>中</w:t>
      </w:r>
      <w:r w:rsidRPr="00450DCA">
        <w:rPr>
          <w:rFonts w:hint="eastAsia"/>
        </w:rPr>
        <w:t>最为重视的能力建设。以往多数企业过多</w:t>
      </w:r>
      <w:r w:rsidR="006C42B3">
        <w:rPr>
          <w:rFonts w:hint="eastAsia"/>
        </w:rPr>
        <w:t>地</w:t>
      </w:r>
      <w:r w:rsidRPr="00450DCA">
        <w:rPr>
          <w:rFonts w:hint="eastAsia"/>
        </w:rPr>
        <w:t>专注于生产经营和营收利润等直接体现企业效益的</w:t>
      </w:r>
      <w:r w:rsidR="00D437DE">
        <w:rPr>
          <w:rFonts w:hint="eastAsia"/>
        </w:rPr>
        <w:t>参数</w:t>
      </w:r>
      <w:r w:rsidRPr="00450DCA">
        <w:rPr>
          <w:rFonts w:hint="eastAsia"/>
        </w:rPr>
        <w:t>；对于企业文化建设、增强人文关怀和关注员工心理往往是纸上谈兵，空中楼阁。而此次疫情在导致企业生产经营活动放缓，甚至是人员冗余的情况下，</w:t>
      </w:r>
      <w:r w:rsidR="00C4562F">
        <w:rPr>
          <w:rFonts w:hint="eastAsia"/>
        </w:rPr>
        <w:t>为企业提供了从</w:t>
      </w:r>
      <w:r w:rsidRPr="00450DCA">
        <w:rPr>
          <w:rFonts w:hint="eastAsia"/>
        </w:rPr>
        <w:t>以往的业务能力建设等“硬实力”转向</w:t>
      </w:r>
      <w:r w:rsidR="00C4562F">
        <w:rPr>
          <w:rFonts w:hint="eastAsia"/>
        </w:rPr>
        <w:t>打造</w:t>
      </w:r>
      <w:r w:rsidRPr="00450DCA">
        <w:rPr>
          <w:rFonts w:hint="eastAsia"/>
        </w:rPr>
        <w:t>企业文化、人文关怀等“软实力“的良好机会。</w:t>
      </w:r>
    </w:p>
    <w:p w14:paraId="63669AA6" w14:textId="2A8841CB" w:rsidR="00450DCA" w:rsidRDefault="00450DCA" w:rsidP="00325FA2">
      <w:pPr>
        <w:spacing w:after="120" w:line="300" w:lineRule="auto"/>
        <w:ind w:firstLineChars="200" w:firstLine="480"/>
        <w:jc w:val="both"/>
      </w:pPr>
      <w:r>
        <w:rPr>
          <w:rFonts w:hint="eastAsia"/>
        </w:rPr>
        <w:t>此次机会也是企业开始探索线上远程办公、打造线上业务平台</w:t>
      </w:r>
      <w:r w:rsidR="00F832B1">
        <w:rPr>
          <w:rFonts w:hint="eastAsia"/>
        </w:rPr>
        <w:t>的重要机会。</w:t>
      </w:r>
      <w:r w:rsidR="00F832B1" w:rsidRPr="00F832B1">
        <w:rPr>
          <w:rFonts w:hint="eastAsia"/>
        </w:rPr>
        <w:t>远程办公是每个企业的硬核能力，</w:t>
      </w:r>
      <w:r w:rsidR="00F832B1">
        <w:rPr>
          <w:rFonts w:hint="eastAsia"/>
        </w:rPr>
        <w:t>也是企业强有力的风险管理能力的体现。当然，</w:t>
      </w:r>
      <w:r w:rsidR="00D437DE">
        <w:rPr>
          <w:rFonts w:hint="eastAsia"/>
        </w:rPr>
        <w:t>当下</w:t>
      </w:r>
      <w:r w:rsidR="00F832B1" w:rsidRPr="00F832B1">
        <w:rPr>
          <w:rFonts w:hint="eastAsia"/>
        </w:rPr>
        <w:t>远程办公正处于上升阶段</w:t>
      </w:r>
      <w:r w:rsidR="00552E4B">
        <w:rPr>
          <w:rFonts w:hint="eastAsia"/>
        </w:rPr>
        <w:t>。随着</w:t>
      </w:r>
      <w:r w:rsidR="00F832B1" w:rsidRPr="00F832B1">
        <w:rPr>
          <w:rFonts w:hint="eastAsia"/>
        </w:rPr>
        <w:t>企业与员工意识</w:t>
      </w:r>
      <w:r w:rsidR="00F6562F">
        <w:rPr>
          <w:rFonts w:hint="eastAsia"/>
        </w:rPr>
        <w:t>的</w:t>
      </w:r>
      <w:r w:rsidR="00F832B1" w:rsidRPr="00F832B1">
        <w:rPr>
          <w:rFonts w:hint="eastAsia"/>
        </w:rPr>
        <w:t>不断提升，工作方式更多的</w:t>
      </w:r>
      <w:r w:rsidR="00F6562F">
        <w:rPr>
          <w:rFonts w:hint="eastAsia"/>
        </w:rPr>
        <w:t>将成为</w:t>
      </w:r>
      <w:r w:rsidR="00F832B1" w:rsidRPr="00F832B1">
        <w:rPr>
          <w:rFonts w:hint="eastAsia"/>
        </w:rPr>
        <w:t>一种形式，更重要的是提升工作效率。对于</w:t>
      </w:r>
      <w:r w:rsidR="00552E4B">
        <w:rPr>
          <w:rFonts w:hint="eastAsia"/>
        </w:rPr>
        <w:t>企业</w:t>
      </w:r>
      <w:r w:rsidR="00F832B1" w:rsidRPr="00F832B1">
        <w:rPr>
          <w:rFonts w:hint="eastAsia"/>
        </w:rPr>
        <w:t>完全实现线上的远程办公，</w:t>
      </w:r>
      <w:r w:rsidR="00F6562F">
        <w:rPr>
          <w:rFonts w:hint="eastAsia"/>
        </w:rPr>
        <w:t>目前</w:t>
      </w:r>
      <w:r w:rsidR="00F832B1" w:rsidRPr="00F832B1">
        <w:rPr>
          <w:rFonts w:hint="eastAsia"/>
        </w:rPr>
        <w:t>仍然有不少方面有待突破。</w:t>
      </w:r>
    </w:p>
    <w:p w14:paraId="2C4AE4F4" w14:textId="04589990" w:rsidR="00450DCA" w:rsidRPr="00450DCA" w:rsidRDefault="00747FD8" w:rsidP="00747FD8">
      <w:pPr>
        <w:spacing w:after="120" w:line="300" w:lineRule="auto"/>
      </w:pPr>
      <w:r>
        <w:rPr>
          <w:rFonts w:hint="eastAsia"/>
          <w:noProof/>
        </w:rPr>
        <w:lastRenderedPageBreak/>
        <w:drawing>
          <wp:inline distT="0" distB="0" distL="0" distR="0" wp14:anchorId="2DCD62C7" wp14:editId="2AE56BEE">
            <wp:extent cx="5274310" cy="3076575"/>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91764C" w14:textId="354E8473" w:rsidR="002C374A"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18</w:t>
      </w:r>
      <w:r w:rsidRPr="00F644AD">
        <w:rPr>
          <w:rFonts w:ascii="华文楷体" w:eastAsia="华文楷体" w:hAnsi="华文楷体"/>
        </w:rPr>
        <w:fldChar w:fldCharType="end"/>
      </w:r>
      <w:r w:rsidRPr="00F644AD">
        <w:rPr>
          <w:rFonts w:ascii="华文楷体" w:eastAsia="华文楷体" w:hAnsi="华文楷体" w:hint="eastAsia"/>
        </w:rPr>
        <w:t>：</w:t>
      </w:r>
      <w:r w:rsidR="00F832B1" w:rsidRPr="00F832B1">
        <w:rPr>
          <w:rFonts w:ascii="华文楷体" w:eastAsia="华文楷体" w:hAnsi="华文楷体" w:hint="eastAsia"/>
        </w:rPr>
        <w:t>企业应对人才工作挑战的举措</w:t>
      </w:r>
    </w:p>
    <w:p w14:paraId="3F6B0400" w14:textId="77777777" w:rsidR="00007C72" w:rsidRPr="00A53043" w:rsidRDefault="00007C72" w:rsidP="00007C72">
      <w:pPr>
        <w:spacing w:after="120"/>
        <w:rPr>
          <w:rFonts w:ascii="黑体" w:eastAsia="黑体" w:hAnsi="黑体"/>
          <w:sz w:val="20"/>
          <w:szCs w:val="18"/>
        </w:rPr>
      </w:pPr>
      <w:r w:rsidRPr="004C3CEC">
        <w:rPr>
          <w:rFonts w:ascii="黑体" w:eastAsia="黑体" w:hAnsi="黑体" w:hint="eastAsia"/>
          <w:sz w:val="20"/>
          <w:szCs w:val="18"/>
        </w:rPr>
        <w:t>注：采用10分值，分值越大，影响越大（1≤影响较小＜3；3≤影响一般＜6；6≤影响明显＜8；8≤</w:t>
      </w:r>
      <w:r>
        <w:rPr>
          <w:rFonts w:ascii="黑体" w:eastAsia="黑体" w:hAnsi="黑体" w:hint="eastAsia"/>
          <w:sz w:val="20"/>
          <w:szCs w:val="18"/>
        </w:rPr>
        <w:t>影响显著</w:t>
      </w:r>
      <w:r w:rsidRPr="004C3CEC">
        <w:rPr>
          <w:rFonts w:ascii="黑体" w:eastAsia="黑体" w:hAnsi="黑体" w:hint="eastAsia"/>
          <w:sz w:val="20"/>
          <w:szCs w:val="18"/>
        </w:rPr>
        <w:t>＜10。）</w:t>
      </w:r>
    </w:p>
    <w:p w14:paraId="1487F913" w14:textId="77777777" w:rsidR="00007C72" w:rsidRPr="00007C72" w:rsidRDefault="00007C72" w:rsidP="00007C72"/>
    <w:p w14:paraId="5285B804" w14:textId="77777777" w:rsidR="00F832B1" w:rsidRDefault="00F832B1" w:rsidP="00F832B1">
      <w:pPr>
        <w:pStyle w:val="a5"/>
        <w:spacing w:afterLines="50" w:after="156"/>
        <w:jc w:val="center"/>
        <w:rPr>
          <w:rFonts w:ascii="华文楷体" w:eastAsia="华文楷体" w:hAnsi="华文楷体"/>
        </w:rPr>
      </w:pPr>
    </w:p>
    <w:p w14:paraId="50423ADB" w14:textId="4965694E" w:rsidR="005D1DD9" w:rsidRPr="005D1DD9" w:rsidRDefault="005D1DD9" w:rsidP="005D1DD9">
      <w:pPr>
        <w:sectPr w:rsidR="005D1DD9" w:rsidRPr="005D1DD9">
          <w:pgSz w:w="11906" w:h="16838"/>
          <w:pgMar w:top="1440" w:right="1800" w:bottom="1440" w:left="1800" w:header="851" w:footer="992" w:gutter="0"/>
          <w:cols w:space="425"/>
          <w:docGrid w:type="lines" w:linePitch="312"/>
        </w:sectPr>
      </w:pPr>
    </w:p>
    <w:p w14:paraId="17D8D6A7" w14:textId="70D85B61" w:rsidR="002C374A" w:rsidRPr="006A5445" w:rsidRDefault="002C374A" w:rsidP="002C374A">
      <w:pPr>
        <w:spacing w:after="156"/>
        <w:outlineLvl w:val="0"/>
        <w:rPr>
          <w:rFonts w:ascii="微软雅黑" w:eastAsia="微软雅黑" w:hAnsi="微软雅黑"/>
          <w:b/>
          <w:bCs/>
          <w:color w:val="0070C0"/>
          <w:sz w:val="28"/>
          <w:szCs w:val="28"/>
        </w:rPr>
      </w:pPr>
      <w:r>
        <w:rPr>
          <w:rFonts w:ascii="微软雅黑" w:eastAsia="微软雅黑" w:hAnsi="微软雅黑" w:hint="eastAsia"/>
          <w:b/>
          <w:bCs/>
          <w:color w:val="0070C0"/>
          <w:sz w:val="28"/>
          <w:szCs w:val="28"/>
        </w:rPr>
        <w:lastRenderedPageBreak/>
        <w:t>【</w:t>
      </w:r>
      <w:r w:rsidRPr="006A5445">
        <w:rPr>
          <w:rFonts w:ascii="微软雅黑" w:eastAsia="微软雅黑" w:hAnsi="微软雅黑" w:hint="eastAsia"/>
          <w:b/>
          <w:bCs/>
          <w:color w:val="0070C0"/>
          <w:sz w:val="28"/>
          <w:szCs w:val="28"/>
        </w:rPr>
        <w:t>扶持</w:t>
      </w:r>
      <w:r w:rsidR="0092482F">
        <w:rPr>
          <w:rFonts w:ascii="微软雅黑" w:eastAsia="微软雅黑" w:hAnsi="微软雅黑" w:hint="eastAsia"/>
          <w:b/>
          <w:bCs/>
          <w:color w:val="0070C0"/>
          <w:sz w:val="28"/>
          <w:szCs w:val="28"/>
        </w:rPr>
        <w:t>需求</w:t>
      </w:r>
      <w:r>
        <w:rPr>
          <w:rFonts w:ascii="微软雅黑" w:eastAsia="微软雅黑" w:hAnsi="微软雅黑" w:hint="eastAsia"/>
          <w:b/>
          <w:bCs/>
          <w:color w:val="0070C0"/>
          <w:sz w:val="28"/>
          <w:szCs w:val="28"/>
        </w:rPr>
        <w:t>】</w:t>
      </w:r>
    </w:p>
    <w:p w14:paraId="215A4090" w14:textId="77777777" w:rsidR="00F832B1" w:rsidRPr="00F832B1" w:rsidRDefault="00F832B1" w:rsidP="00F832B1">
      <w:pPr>
        <w:spacing w:after="156"/>
        <w:rPr>
          <w:rFonts w:ascii="微软雅黑" w:eastAsia="微软雅黑" w:hAnsi="微软雅黑"/>
          <w:b/>
          <w:bCs/>
        </w:rPr>
      </w:pPr>
      <w:r w:rsidRPr="00F832B1">
        <w:rPr>
          <w:rFonts w:ascii="微软雅黑" w:eastAsia="微软雅黑" w:hAnsi="微软雅黑" w:hint="eastAsia"/>
          <w:b/>
          <w:bCs/>
        </w:rPr>
        <w:t>减轻企业负担，推动复工复产是企业重点诉求</w:t>
      </w:r>
    </w:p>
    <w:p w14:paraId="58937A8B" w14:textId="4778AD21" w:rsidR="00A1515C" w:rsidRDefault="00F832B1" w:rsidP="00955D2A">
      <w:pPr>
        <w:spacing w:after="120" w:line="300" w:lineRule="auto"/>
        <w:ind w:firstLineChars="200" w:firstLine="480"/>
        <w:jc w:val="both"/>
      </w:pPr>
      <w:r w:rsidRPr="00F832B1">
        <w:rPr>
          <w:rFonts w:hint="eastAsia"/>
        </w:rPr>
        <w:t>从政府层面来看，减轻企业负担、推动企业复工复产成为最重要的选择。其中</w:t>
      </w:r>
      <w:r w:rsidR="00747FD8">
        <w:rPr>
          <w:rFonts w:hint="eastAsia"/>
        </w:rPr>
        <w:t>9</w:t>
      </w:r>
      <w:r w:rsidR="00747FD8">
        <w:t>0.8</w:t>
      </w:r>
      <w:r w:rsidRPr="00F832B1">
        <w:t>%</w:t>
      </w:r>
      <w:r w:rsidRPr="00F832B1">
        <w:rPr>
          <w:rFonts w:hint="eastAsia"/>
        </w:rPr>
        <w:t>的企业表示希望政府能够出台减轻企业负担，</w:t>
      </w:r>
      <w:r w:rsidR="00A1515C">
        <w:rPr>
          <w:rFonts w:hint="eastAsia"/>
        </w:rPr>
        <w:t>实施援企稳岗、减轻税费等政策来辅助企业恢复生产，减少企业生产经营压力</w:t>
      </w:r>
      <w:r w:rsidRPr="00F832B1">
        <w:rPr>
          <w:rFonts w:hint="eastAsia"/>
        </w:rPr>
        <w:t>；</w:t>
      </w:r>
      <w:r w:rsidR="00747FD8">
        <w:t>87</w:t>
      </w:r>
      <w:r w:rsidR="00747FD8">
        <w:rPr>
          <w:rFonts w:hint="eastAsia"/>
        </w:rPr>
        <w:t>.</w:t>
      </w:r>
      <w:r w:rsidR="00747FD8">
        <w:t>7</w:t>
      </w:r>
      <w:r w:rsidRPr="00F832B1">
        <w:rPr>
          <w:rFonts w:hint="eastAsia"/>
        </w:rPr>
        <w:t>%的企业表示希望政府能够在保障疫情防控的基础上尽力恢复和推动企业复工复产，尽量</w:t>
      </w:r>
      <w:r w:rsidR="00A1515C">
        <w:rPr>
          <w:rFonts w:hint="eastAsia"/>
        </w:rPr>
        <w:t>减少</w:t>
      </w:r>
      <w:r w:rsidRPr="00F832B1">
        <w:rPr>
          <w:rFonts w:hint="eastAsia"/>
        </w:rPr>
        <w:t>企业损失。这两</w:t>
      </w:r>
      <w:r w:rsidR="00343F19">
        <w:rPr>
          <w:rFonts w:hint="eastAsia"/>
        </w:rPr>
        <w:t>项</w:t>
      </w:r>
      <w:r w:rsidRPr="00F832B1">
        <w:rPr>
          <w:rFonts w:hint="eastAsia"/>
        </w:rPr>
        <w:t>诉求从一定层面上也反映出</w:t>
      </w:r>
      <w:r w:rsidR="0007174E">
        <w:rPr>
          <w:rFonts w:hint="eastAsia"/>
        </w:rPr>
        <w:t>陕西</w:t>
      </w:r>
      <w:r w:rsidR="00A1515C">
        <w:rPr>
          <w:rFonts w:hint="eastAsia"/>
        </w:rPr>
        <w:t>省工程勘察设计企业具有较高的自主性，</w:t>
      </w:r>
      <w:r w:rsidRPr="00F832B1">
        <w:rPr>
          <w:rFonts w:hint="eastAsia"/>
        </w:rPr>
        <w:t>希望能够在政府的辅助支持下，充分发挥企业的</w:t>
      </w:r>
      <w:r w:rsidR="00A1515C">
        <w:rPr>
          <w:rFonts w:hint="eastAsia"/>
        </w:rPr>
        <w:t>“自救”能力</w:t>
      </w:r>
      <w:r w:rsidRPr="00F832B1">
        <w:rPr>
          <w:rFonts w:hint="eastAsia"/>
        </w:rPr>
        <w:t>，努力恢复生产经营。</w:t>
      </w:r>
    </w:p>
    <w:p w14:paraId="03FAC577" w14:textId="6061F045" w:rsidR="00D3333D" w:rsidRDefault="00004801" w:rsidP="00955D2A">
      <w:pPr>
        <w:spacing w:after="120" w:line="300" w:lineRule="auto"/>
        <w:ind w:firstLineChars="200" w:firstLine="480"/>
        <w:jc w:val="both"/>
      </w:pPr>
      <w:r w:rsidRPr="0092482F">
        <w:rPr>
          <w:rFonts w:hint="eastAsia"/>
        </w:rPr>
        <w:t>未来</w:t>
      </w:r>
      <w:r w:rsidR="00D525F8">
        <w:rPr>
          <w:rFonts w:hint="eastAsia"/>
        </w:rPr>
        <w:t>，</w:t>
      </w:r>
      <w:r w:rsidRPr="0092482F">
        <w:rPr>
          <w:rFonts w:hint="eastAsia"/>
        </w:rPr>
        <w:t>企业也希望行业相关管理部门</w:t>
      </w:r>
      <w:r>
        <w:rPr>
          <w:rFonts w:hint="eastAsia"/>
        </w:rPr>
        <w:t>能够针对行业发展出台相关政策，主要集中在</w:t>
      </w:r>
      <w:r w:rsidR="00D3333D">
        <w:rPr>
          <w:rFonts w:hint="eastAsia"/>
        </w:rPr>
        <w:t>：</w:t>
      </w:r>
    </w:p>
    <w:p w14:paraId="6128002C" w14:textId="7BEB5A1D" w:rsidR="00DA435C" w:rsidRPr="00001A92" w:rsidRDefault="00D3333D" w:rsidP="00955D2A">
      <w:pPr>
        <w:pStyle w:val="a6"/>
        <w:numPr>
          <w:ilvl w:val="0"/>
          <w:numId w:val="6"/>
        </w:numPr>
        <w:spacing w:after="120" w:line="300" w:lineRule="auto"/>
        <w:ind w:firstLineChars="0"/>
        <w:rPr>
          <w:sz w:val="24"/>
          <w:szCs w:val="32"/>
        </w:rPr>
      </w:pPr>
      <w:r w:rsidRPr="00001A92">
        <w:rPr>
          <w:rFonts w:hint="eastAsia"/>
          <w:sz w:val="24"/>
          <w:szCs w:val="32"/>
        </w:rPr>
        <w:t>政策的优化调整</w:t>
      </w:r>
      <w:r w:rsidR="00DA435C" w:rsidRPr="00001A92">
        <w:rPr>
          <w:rFonts w:hint="eastAsia"/>
          <w:sz w:val="24"/>
          <w:szCs w:val="32"/>
        </w:rPr>
        <w:t>，加快</w:t>
      </w:r>
      <w:r w:rsidR="00582129" w:rsidRPr="00001A92">
        <w:rPr>
          <w:rFonts w:hint="eastAsia"/>
          <w:sz w:val="24"/>
          <w:szCs w:val="32"/>
        </w:rPr>
        <w:t>企业恢复</w:t>
      </w:r>
      <w:r w:rsidR="00DA435C" w:rsidRPr="00001A92">
        <w:rPr>
          <w:rFonts w:hint="eastAsia"/>
          <w:sz w:val="24"/>
          <w:szCs w:val="32"/>
        </w:rPr>
        <w:t>。</w:t>
      </w:r>
      <w:r w:rsidR="00D525F8" w:rsidRPr="00001A92">
        <w:rPr>
          <w:rFonts w:hint="eastAsia"/>
          <w:sz w:val="24"/>
          <w:szCs w:val="32"/>
        </w:rPr>
        <w:t>例如出台专项扶持政策，</w:t>
      </w:r>
      <w:r w:rsidR="00582129" w:rsidRPr="00001A92">
        <w:rPr>
          <w:rFonts w:hint="eastAsia"/>
          <w:sz w:val="24"/>
          <w:szCs w:val="32"/>
        </w:rPr>
        <w:t>优惠政策，</w:t>
      </w:r>
      <w:r w:rsidR="00A37894" w:rsidRPr="00001A92">
        <w:rPr>
          <w:rFonts w:hint="eastAsia"/>
          <w:sz w:val="24"/>
          <w:szCs w:val="32"/>
        </w:rPr>
        <w:t>减税降费</w:t>
      </w:r>
      <w:r w:rsidR="00D525F8" w:rsidRPr="00001A92">
        <w:rPr>
          <w:rFonts w:hint="eastAsia"/>
          <w:sz w:val="24"/>
          <w:szCs w:val="32"/>
        </w:rPr>
        <w:t>，减轻企业负担，减少疫情对企业的影响。</w:t>
      </w:r>
      <w:r w:rsidR="006938A3" w:rsidRPr="00001A92">
        <w:rPr>
          <w:rFonts w:hint="eastAsia"/>
          <w:sz w:val="24"/>
          <w:szCs w:val="32"/>
        </w:rPr>
        <w:t>希望能够加大对本地企业的支持力度。</w:t>
      </w:r>
    </w:p>
    <w:p w14:paraId="692EF1C2" w14:textId="73819F25" w:rsidR="00D3333D" w:rsidRPr="00001A92" w:rsidRDefault="00D3333D" w:rsidP="00955D2A">
      <w:pPr>
        <w:pStyle w:val="a6"/>
        <w:numPr>
          <w:ilvl w:val="0"/>
          <w:numId w:val="6"/>
        </w:numPr>
        <w:spacing w:after="120" w:line="300" w:lineRule="auto"/>
        <w:ind w:firstLineChars="0"/>
        <w:rPr>
          <w:sz w:val="24"/>
          <w:szCs w:val="32"/>
        </w:rPr>
      </w:pPr>
      <w:r w:rsidRPr="00001A92">
        <w:rPr>
          <w:rFonts w:hint="eastAsia"/>
          <w:sz w:val="24"/>
          <w:szCs w:val="32"/>
        </w:rPr>
        <w:t>增加市场需求，希望</w:t>
      </w:r>
      <w:r w:rsidR="00004801" w:rsidRPr="00001A92">
        <w:rPr>
          <w:rFonts w:hint="eastAsia"/>
          <w:sz w:val="24"/>
          <w:szCs w:val="32"/>
        </w:rPr>
        <w:t>后续在基础领域加大投资，例如</w:t>
      </w:r>
      <w:r w:rsidR="00A37894" w:rsidRPr="00001A92">
        <w:rPr>
          <w:rFonts w:hint="eastAsia"/>
          <w:sz w:val="24"/>
          <w:szCs w:val="32"/>
        </w:rPr>
        <w:t>推进医疗基础设施建设</w:t>
      </w:r>
      <w:r w:rsidR="00C4612B" w:rsidRPr="00001A92">
        <w:rPr>
          <w:rFonts w:hint="eastAsia"/>
          <w:sz w:val="24"/>
          <w:szCs w:val="32"/>
        </w:rPr>
        <w:t>等</w:t>
      </w:r>
      <w:r w:rsidR="00A37894" w:rsidRPr="00001A92">
        <w:rPr>
          <w:rFonts w:hint="eastAsia"/>
          <w:sz w:val="24"/>
          <w:szCs w:val="32"/>
        </w:rPr>
        <w:t>。</w:t>
      </w:r>
    </w:p>
    <w:p w14:paraId="79B58898" w14:textId="4769C60E" w:rsidR="00D3333D" w:rsidRPr="00001A92" w:rsidRDefault="00D3333D" w:rsidP="00955D2A">
      <w:pPr>
        <w:pStyle w:val="a6"/>
        <w:numPr>
          <w:ilvl w:val="0"/>
          <w:numId w:val="6"/>
        </w:numPr>
        <w:spacing w:after="120" w:line="300" w:lineRule="auto"/>
        <w:ind w:firstLineChars="0"/>
        <w:rPr>
          <w:sz w:val="24"/>
          <w:szCs w:val="32"/>
        </w:rPr>
      </w:pPr>
      <w:r w:rsidRPr="00001A92">
        <w:rPr>
          <w:sz w:val="24"/>
          <w:szCs w:val="32"/>
        </w:rPr>
        <w:t>规范行业内企业的市场行为</w:t>
      </w:r>
      <w:r w:rsidRPr="00001A92">
        <w:rPr>
          <w:rFonts w:hint="eastAsia"/>
          <w:sz w:val="24"/>
          <w:szCs w:val="32"/>
        </w:rPr>
        <w:t>，</w:t>
      </w:r>
      <w:r w:rsidR="006938A3" w:rsidRPr="00001A92">
        <w:rPr>
          <w:rFonts w:hint="eastAsia"/>
          <w:sz w:val="24"/>
          <w:szCs w:val="32"/>
        </w:rPr>
        <w:t>监督业主单位及时支付欠款；有效监管低价中标行为，避免行业不正当竞争。</w:t>
      </w:r>
    </w:p>
    <w:p w14:paraId="4CEE6857" w14:textId="46637FE2" w:rsidR="0048015B" w:rsidRPr="00001A92" w:rsidRDefault="0048015B" w:rsidP="00955D2A">
      <w:pPr>
        <w:pStyle w:val="a6"/>
        <w:numPr>
          <w:ilvl w:val="0"/>
          <w:numId w:val="6"/>
        </w:numPr>
        <w:spacing w:after="120" w:line="300" w:lineRule="auto"/>
        <w:ind w:firstLineChars="0"/>
        <w:rPr>
          <w:sz w:val="24"/>
          <w:szCs w:val="32"/>
        </w:rPr>
      </w:pPr>
      <w:r w:rsidRPr="00001A92">
        <w:rPr>
          <w:rFonts w:hint="eastAsia"/>
          <w:sz w:val="24"/>
          <w:szCs w:val="32"/>
        </w:rPr>
        <w:t>简化审批流程，简化招投标程序，提高效率；对部分规定期限业务希望能够适当延期办理</w:t>
      </w:r>
      <w:r w:rsidR="006938A3" w:rsidRPr="00001A92">
        <w:rPr>
          <w:rFonts w:hint="eastAsia"/>
          <w:sz w:val="24"/>
          <w:szCs w:val="32"/>
        </w:rPr>
        <w:t>，适当延期企业资质。</w:t>
      </w:r>
    </w:p>
    <w:p w14:paraId="0B0FB167" w14:textId="5323F794" w:rsidR="00D3333D" w:rsidRPr="00001A92" w:rsidRDefault="0048015B" w:rsidP="00955D2A">
      <w:pPr>
        <w:pStyle w:val="a6"/>
        <w:numPr>
          <w:ilvl w:val="0"/>
          <w:numId w:val="6"/>
        </w:numPr>
        <w:spacing w:after="120" w:line="300" w:lineRule="auto"/>
        <w:ind w:firstLineChars="0"/>
        <w:rPr>
          <w:sz w:val="24"/>
          <w:szCs w:val="32"/>
        </w:rPr>
      </w:pPr>
      <w:r w:rsidRPr="00001A92">
        <w:rPr>
          <w:rFonts w:hint="eastAsia"/>
          <w:sz w:val="24"/>
          <w:szCs w:val="32"/>
        </w:rPr>
        <w:t>加速推进数字化进程</w:t>
      </w:r>
      <w:r w:rsidR="00A37894" w:rsidRPr="00001A92">
        <w:rPr>
          <w:rFonts w:hint="eastAsia"/>
          <w:sz w:val="24"/>
          <w:szCs w:val="32"/>
        </w:rPr>
        <w:t>，希望开展远程评审。</w:t>
      </w:r>
      <w:r w:rsidR="00D3333D" w:rsidRPr="00001A92">
        <w:rPr>
          <w:rFonts w:hint="eastAsia"/>
          <w:sz w:val="24"/>
          <w:szCs w:val="32"/>
        </w:rPr>
        <w:t>希望</w:t>
      </w:r>
      <w:r w:rsidR="00004801" w:rsidRPr="00001A92">
        <w:rPr>
          <w:sz w:val="24"/>
          <w:szCs w:val="32"/>
        </w:rPr>
        <w:t>继续加大放管服力度，</w:t>
      </w:r>
      <w:r w:rsidR="00A37894" w:rsidRPr="00001A92">
        <w:rPr>
          <w:rFonts w:hint="eastAsia"/>
          <w:sz w:val="24"/>
          <w:szCs w:val="32"/>
        </w:rPr>
        <w:t>简化资质申报体系，加大对线上公共服务的建设，</w:t>
      </w:r>
      <w:r w:rsidRPr="00001A92">
        <w:rPr>
          <w:rFonts w:hint="eastAsia"/>
          <w:sz w:val="24"/>
          <w:szCs w:val="32"/>
        </w:rPr>
        <w:t>提升效率。</w:t>
      </w:r>
      <w:r w:rsidR="006938A3" w:rsidRPr="00001A92">
        <w:rPr>
          <w:rFonts w:hint="eastAsia"/>
          <w:sz w:val="24"/>
          <w:szCs w:val="32"/>
        </w:rPr>
        <w:t>希望能够增加网络培训。</w:t>
      </w:r>
    </w:p>
    <w:p w14:paraId="298BB4C7" w14:textId="5E957AF0" w:rsidR="00A1515C" w:rsidRDefault="00747FD8" w:rsidP="00747FD8">
      <w:r>
        <w:rPr>
          <w:noProof/>
        </w:rPr>
        <w:lastRenderedPageBreak/>
        <w:drawing>
          <wp:inline distT="0" distB="0" distL="0" distR="0" wp14:anchorId="01B03EBC" wp14:editId="6EAC5E27">
            <wp:extent cx="5124450" cy="2609850"/>
            <wp:effectExtent l="0" t="0" r="0" b="0"/>
            <wp:docPr id="60" name="图表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41D2B1-4CE7-4E93-98C9-2C5FFFAF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7C0481" w14:textId="32D66BDF" w:rsidR="00A1515C" w:rsidRDefault="00007C72" w:rsidP="00F644AD">
      <w:pPr>
        <w:pStyle w:val="a5"/>
        <w:spacing w:afterLines="50" w:after="156" w:line="300" w:lineRule="auto"/>
        <w:jc w:val="center"/>
        <w:rPr>
          <w:rFonts w:ascii="华文楷体" w:eastAsia="华文楷体" w:hAnsi="华文楷体"/>
        </w:rPr>
      </w:pPr>
      <w:r w:rsidRPr="00F644AD">
        <w:rPr>
          <w:rFonts w:ascii="华文楷体" w:eastAsia="华文楷体" w:hAnsi="华文楷体" w:hint="eastAsia"/>
        </w:rPr>
        <w:t xml:space="preserve">图 </w:t>
      </w:r>
      <w:r w:rsidRPr="00F644AD">
        <w:rPr>
          <w:rFonts w:ascii="华文楷体" w:eastAsia="华文楷体" w:hAnsi="华文楷体"/>
        </w:rPr>
        <w:fldChar w:fldCharType="begin"/>
      </w:r>
      <w:r w:rsidRPr="00F644AD">
        <w:rPr>
          <w:rFonts w:ascii="华文楷体" w:eastAsia="华文楷体" w:hAnsi="华文楷体"/>
        </w:rPr>
        <w:instrText xml:space="preserve"> </w:instrText>
      </w:r>
      <w:r w:rsidRPr="00F644AD">
        <w:rPr>
          <w:rFonts w:ascii="华文楷体" w:eastAsia="华文楷体" w:hAnsi="华文楷体" w:hint="eastAsia"/>
        </w:rPr>
        <w:instrText>SEQ 图 \* ARABIC</w:instrText>
      </w:r>
      <w:r w:rsidRPr="00F644AD">
        <w:rPr>
          <w:rFonts w:ascii="华文楷体" w:eastAsia="华文楷体" w:hAnsi="华文楷体"/>
        </w:rPr>
        <w:instrText xml:space="preserve"> </w:instrText>
      </w:r>
      <w:r w:rsidRPr="00F644AD">
        <w:rPr>
          <w:rFonts w:ascii="华文楷体" w:eastAsia="华文楷体" w:hAnsi="华文楷体"/>
        </w:rPr>
        <w:fldChar w:fldCharType="separate"/>
      </w:r>
      <w:r w:rsidRPr="00F644AD">
        <w:rPr>
          <w:rFonts w:ascii="华文楷体" w:eastAsia="华文楷体" w:hAnsi="华文楷体"/>
        </w:rPr>
        <w:t>19</w:t>
      </w:r>
      <w:r w:rsidRPr="00F644AD">
        <w:rPr>
          <w:rFonts w:ascii="华文楷体" w:eastAsia="华文楷体" w:hAnsi="华文楷体"/>
        </w:rPr>
        <w:fldChar w:fldCharType="end"/>
      </w:r>
      <w:r w:rsidRPr="00F644AD">
        <w:rPr>
          <w:rFonts w:ascii="华文楷体" w:eastAsia="华文楷体" w:hAnsi="华文楷体" w:hint="eastAsia"/>
        </w:rPr>
        <w:t>：</w:t>
      </w:r>
      <w:r w:rsidR="00A1515C" w:rsidRPr="00A1515C">
        <w:rPr>
          <w:rFonts w:ascii="华文楷体" w:eastAsia="华文楷体" w:hAnsi="华文楷体" w:hint="eastAsia"/>
        </w:rPr>
        <w:t>希望得到的政策支持</w:t>
      </w:r>
    </w:p>
    <w:p w14:paraId="3AF15D2F" w14:textId="18DB595E" w:rsidR="00F832B1" w:rsidRPr="00F832B1" w:rsidRDefault="00F832B1" w:rsidP="002C374A">
      <w:pPr>
        <w:spacing w:after="120" w:line="300" w:lineRule="auto"/>
        <w:ind w:firstLineChars="200" w:firstLine="480"/>
      </w:pPr>
    </w:p>
    <w:p w14:paraId="726A9C4B" w14:textId="2850F401" w:rsidR="002C374A" w:rsidRDefault="002C374A" w:rsidP="002C374A">
      <w:pPr>
        <w:spacing w:after="156"/>
        <w:outlineLvl w:val="0"/>
        <w:rPr>
          <w:rFonts w:ascii="微软雅黑" w:eastAsia="微软雅黑" w:hAnsi="微软雅黑"/>
          <w:b/>
          <w:bCs/>
          <w:color w:val="0070C0"/>
          <w:sz w:val="28"/>
          <w:szCs w:val="28"/>
        </w:rPr>
        <w:sectPr w:rsidR="002C374A">
          <w:pgSz w:w="11906" w:h="16838"/>
          <w:pgMar w:top="1440" w:right="1800" w:bottom="1440" w:left="1800" w:header="851" w:footer="992" w:gutter="0"/>
          <w:cols w:space="425"/>
          <w:docGrid w:type="lines" w:linePitch="312"/>
        </w:sectPr>
      </w:pPr>
    </w:p>
    <w:p w14:paraId="063978E9" w14:textId="77777777" w:rsidR="005D1DD9" w:rsidRPr="005A7EB1" w:rsidRDefault="005D1DD9" w:rsidP="005D1DD9">
      <w:pPr>
        <w:spacing w:after="156"/>
        <w:outlineLvl w:val="0"/>
        <w:rPr>
          <w:rFonts w:ascii="微软雅黑" w:eastAsia="微软雅黑" w:hAnsi="微软雅黑"/>
          <w:b/>
          <w:bCs/>
          <w:color w:val="0070C0"/>
          <w:sz w:val="28"/>
          <w:szCs w:val="28"/>
        </w:rPr>
      </w:pPr>
      <w:r w:rsidRPr="005A7EB1">
        <w:rPr>
          <w:rFonts w:ascii="微软雅黑" w:eastAsia="微软雅黑" w:hAnsi="微软雅黑" w:hint="eastAsia"/>
          <w:b/>
          <w:bCs/>
          <w:color w:val="0070C0"/>
          <w:sz w:val="28"/>
          <w:szCs w:val="28"/>
        </w:rPr>
        <w:lastRenderedPageBreak/>
        <w:t>【政府扶持政策】</w:t>
      </w:r>
    </w:p>
    <w:p w14:paraId="3425003A" w14:textId="77777777" w:rsidR="00626547" w:rsidRPr="00626547" w:rsidRDefault="005D1DD9" w:rsidP="005A7EB1">
      <w:pPr>
        <w:spacing w:after="120" w:line="300" w:lineRule="auto"/>
        <w:ind w:firstLine="482"/>
        <w:jc w:val="both"/>
      </w:pPr>
      <w:r w:rsidRPr="00626547">
        <w:rPr>
          <w:rFonts w:hint="eastAsia"/>
        </w:rPr>
        <w:t>当下，国家及地方政府积极出台各种政策，保障国民经济的正常运行。</w:t>
      </w:r>
    </w:p>
    <w:p w14:paraId="64A0546E" w14:textId="77777777" w:rsidR="00626547" w:rsidRPr="005A7EB1" w:rsidRDefault="005D1DD9" w:rsidP="005A7EB1">
      <w:pPr>
        <w:spacing w:after="120" w:line="300" w:lineRule="auto"/>
        <w:ind w:firstLine="482"/>
        <w:jc w:val="both"/>
      </w:pPr>
      <w:r w:rsidRPr="0059343E">
        <w:rPr>
          <w:rFonts w:hint="eastAsia"/>
        </w:rPr>
        <w:t>从财税支持的角度来看，</w:t>
      </w:r>
      <w:r w:rsidR="005F3BF8" w:rsidRPr="0059343E">
        <w:rPr>
          <w:rFonts w:hint="eastAsia"/>
        </w:rPr>
        <w:t>以</w:t>
      </w:r>
      <w:r w:rsidRPr="0059343E">
        <w:rPr>
          <w:rFonts w:hint="eastAsia"/>
        </w:rPr>
        <w:t>加强减税降费</w:t>
      </w:r>
      <w:r w:rsidR="00D55425" w:rsidRPr="0059343E">
        <w:rPr>
          <w:rFonts w:hint="eastAsia"/>
        </w:rPr>
        <w:t>，</w:t>
      </w:r>
      <w:r w:rsidRPr="0059343E">
        <w:rPr>
          <w:rFonts w:hint="eastAsia"/>
        </w:rPr>
        <w:t>扩</w:t>
      </w:r>
      <w:r w:rsidR="00D14967" w:rsidRPr="0059343E">
        <w:rPr>
          <w:rFonts w:hint="eastAsia"/>
        </w:rPr>
        <w:t>大</w:t>
      </w:r>
      <w:r w:rsidRPr="00556C89">
        <w:rPr>
          <w:rFonts w:hint="eastAsia"/>
        </w:rPr>
        <w:t>支出力度</w:t>
      </w:r>
      <w:r w:rsidR="005F3BF8" w:rsidRPr="00334778">
        <w:rPr>
          <w:rFonts w:hint="eastAsia"/>
        </w:rPr>
        <w:t>为主</w:t>
      </w:r>
      <w:r w:rsidRPr="00334778">
        <w:rPr>
          <w:rFonts w:hint="eastAsia"/>
        </w:rPr>
        <w:t>。自2月2日以来北京、上海、苏州、无锡、青岛、宁波、山东、湖北等省市密集出台扶持中小企业发展的财税政策，通过减税降费减轻企业负担，帮助各类企业稳定生产经营。</w:t>
      </w:r>
    </w:p>
    <w:p w14:paraId="5D65677A" w14:textId="77777777" w:rsidR="00626547" w:rsidRPr="005A7EB1" w:rsidRDefault="005D1DD9" w:rsidP="005A7EB1">
      <w:pPr>
        <w:spacing w:after="120" w:line="300" w:lineRule="auto"/>
        <w:ind w:firstLine="482"/>
        <w:jc w:val="both"/>
      </w:pPr>
      <w:r w:rsidRPr="005A7EB1">
        <w:rPr>
          <w:rFonts w:hint="eastAsia"/>
        </w:rPr>
        <w:t>从金融支持的角度来看，降低企业融资成本，维护金融系统稳定。各地政府强调以优质、快捷、高效的金融服务全面助力疫情防控，保证经济金融体系平稳运行，降低企业融资利率，为企业生产经营提供流动性支持。</w:t>
      </w:r>
    </w:p>
    <w:p w14:paraId="65E02855" w14:textId="75D3E782" w:rsidR="005D1DD9" w:rsidRPr="005A7EB1" w:rsidRDefault="005D1DD9" w:rsidP="005A7EB1">
      <w:pPr>
        <w:spacing w:after="120" w:line="300" w:lineRule="auto"/>
        <w:ind w:firstLine="482"/>
        <w:jc w:val="both"/>
      </w:pPr>
      <w:r w:rsidRPr="005A7EB1">
        <w:rPr>
          <w:rFonts w:hint="eastAsia"/>
        </w:rPr>
        <w:t>从稳岗就业的角度来看，政策强调保障职工工资待遇权益，合理分担企业稳岗成本。</w:t>
      </w:r>
    </w:p>
    <w:p w14:paraId="12DADDE0" w14:textId="5E56EF54" w:rsidR="00D463AC" w:rsidRPr="006A5445" w:rsidRDefault="00D463AC" w:rsidP="00D463AC">
      <w:pPr>
        <w:pStyle w:val="a5"/>
        <w:jc w:val="center"/>
        <w:rPr>
          <w:rFonts w:ascii="微软雅黑" w:eastAsia="微软雅黑" w:hAnsi="微软雅黑"/>
        </w:rPr>
      </w:pPr>
      <w:r w:rsidRPr="006A5445">
        <w:rPr>
          <w:rFonts w:ascii="微软雅黑" w:eastAsia="微软雅黑" w:hAnsi="微软雅黑"/>
        </w:rPr>
        <w:t xml:space="preserve">表 </w:t>
      </w:r>
      <w:r w:rsidRPr="006A5445">
        <w:rPr>
          <w:rFonts w:ascii="微软雅黑" w:eastAsia="微软雅黑" w:hAnsi="微软雅黑"/>
        </w:rPr>
        <w:fldChar w:fldCharType="begin"/>
      </w:r>
      <w:r w:rsidRPr="006A5445">
        <w:rPr>
          <w:rFonts w:ascii="微软雅黑" w:eastAsia="微软雅黑" w:hAnsi="微软雅黑"/>
        </w:rPr>
        <w:instrText xml:space="preserve"> SEQ 表 \* ARABIC </w:instrText>
      </w:r>
      <w:r w:rsidRPr="006A5445">
        <w:rPr>
          <w:rFonts w:ascii="微软雅黑" w:eastAsia="微软雅黑" w:hAnsi="微软雅黑"/>
        </w:rPr>
        <w:fldChar w:fldCharType="separate"/>
      </w:r>
      <w:r w:rsidR="0059343E">
        <w:rPr>
          <w:rFonts w:ascii="微软雅黑" w:eastAsia="微软雅黑" w:hAnsi="微软雅黑"/>
          <w:noProof/>
        </w:rPr>
        <w:t>1</w:t>
      </w:r>
      <w:r w:rsidRPr="006A5445">
        <w:rPr>
          <w:rFonts w:ascii="微软雅黑" w:eastAsia="微软雅黑" w:hAnsi="微软雅黑"/>
        </w:rPr>
        <w:fldChar w:fldCharType="end"/>
      </w:r>
      <w:r w:rsidRPr="006A5445">
        <w:rPr>
          <w:rFonts w:ascii="微软雅黑" w:eastAsia="微软雅黑" w:hAnsi="微软雅黑" w:hint="eastAsia"/>
        </w:rPr>
        <w:t>：部分国家扶持政策梳理</w:t>
      </w:r>
    </w:p>
    <w:tbl>
      <w:tblPr>
        <w:tblW w:w="5000" w:type="pct"/>
        <w:tblCellMar>
          <w:left w:w="0" w:type="dxa"/>
          <w:right w:w="0" w:type="dxa"/>
        </w:tblCellMar>
        <w:tblLook w:val="0420" w:firstRow="1" w:lastRow="0" w:firstColumn="0" w:lastColumn="0" w:noHBand="0" w:noVBand="1"/>
      </w:tblPr>
      <w:tblGrid>
        <w:gridCol w:w="1832"/>
        <w:gridCol w:w="1134"/>
        <w:gridCol w:w="5320"/>
      </w:tblGrid>
      <w:tr w:rsidR="00D463AC" w:rsidRPr="007E3E8F" w14:paraId="18E2E8AD" w14:textId="77777777" w:rsidTr="00955D2A">
        <w:trPr>
          <w:trHeight w:val="584"/>
        </w:trPr>
        <w:tc>
          <w:tcPr>
            <w:tcW w:w="1106"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717E9C9C" w14:textId="4B7543B4" w:rsidR="00D463AC" w:rsidRPr="007E3E8F" w:rsidRDefault="00D463AC" w:rsidP="005A7EB1">
            <w:pPr>
              <w:jc w:val="center"/>
              <w:rPr>
                <w:rFonts w:ascii="微软雅黑" w:eastAsia="微软雅黑" w:hAnsi="微软雅黑"/>
                <w:color w:val="FFFFFF" w:themeColor="background1"/>
                <w:sz w:val="21"/>
                <w:szCs w:val="21"/>
              </w:rPr>
            </w:pPr>
            <w:r w:rsidRPr="007E3E8F">
              <w:rPr>
                <w:rFonts w:ascii="微软雅黑" w:eastAsia="微软雅黑" w:hAnsi="微软雅黑" w:hint="eastAsia"/>
                <w:b/>
                <w:bCs/>
                <w:color w:val="FFFFFF" w:themeColor="background1"/>
                <w:sz w:val="21"/>
                <w:szCs w:val="21"/>
              </w:rPr>
              <w:t>部门</w:t>
            </w:r>
          </w:p>
        </w:tc>
        <w:tc>
          <w:tcPr>
            <w:tcW w:w="684"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214AFC64" w14:textId="77777777" w:rsidR="00D463AC" w:rsidRPr="007E3E8F" w:rsidRDefault="00D463AC" w:rsidP="005A7EB1">
            <w:pPr>
              <w:jc w:val="center"/>
              <w:rPr>
                <w:rFonts w:ascii="微软雅黑" w:eastAsia="微软雅黑" w:hAnsi="微软雅黑"/>
                <w:color w:val="FFFFFF" w:themeColor="background1"/>
                <w:sz w:val="21"/>
                <w:szCs w:val="21"/>
              </w:rPr>
            </w:pPr>
            <w:r w:rsidRPr="007E3E8F">
              <w:rPr>
                <w:rFonts w:ascii="微软雅黑" w:eastAsia="微软雅黑" w:hAnsi="微软雅黑" w:hint="eastAsia"/>
                <w:b/>
                <w:bCs/>
                <w:color w:val="FFFFFF" w:themeColor="background1"/>
                <w:sz w:val="21"/>
                <w:szCs w:val="21"/>
              </w:rPr>
              <w:t>时间</w:t>
            </w:r>
          </w:p>
        </w:tc>
        <w:tc>
          <w:tcPr>
            <w:tcW w:w="3210"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54C15B93" w14:textId="77777777" w:rsidR="00D463AC" w:rsidRPr="007E3E8F" w:rsidRDefault="00D463AC" w:rsidP="005A7EB1">
            <w:pPr>
              <w:ind w:firstLine="482"/>
              <w:jc w:val="center"/>
              <w:rPr>
                <w:rFonts w:ascii="微软雅黑" w:eastAsia="微软雅黑" w:hAnsi="微软雅黑"/>
                <w:color w:val="FFFFFF" w:themeColor="background1"/>
                <w:sz w:val="21"/>
                <w:szCs w:val="21"/>
              </w:rPr>
            </w:pPr>
            <w:r w:rsidRPr="007E3E8F">
              <w:rPr>
                <w:rFonts w:ascii="微软雅黑" w:eastAsia="微软雅黑" w:hAnsi="微软雅黑" w:hint="eastAsia"/>
                <w:b/>
                <w:bCs/>
                <w:color w:val="FFFFFF" w:themeColor="background1"/>
                <w:sz w:val="21"/>
                <w:szCs w:val="21"/>
              </w:rPr>
              <w:t>相关政策</w:t>
            </w:r>
          </w:p>
        </w:tc>
      </w:tr>
      <w:tr w:rsidR="00D463AC" w:rsidRPr="007E3E8F" w14:paraId="198E6B0D" w14:textId="77777777" w:rsidTr="00131FF8">
        <w:trPr>
          <w:trHeight w:val="742"/>
        </w:trPr>
        <w:tc>
          <w:tcPr>
            <w:tcW w:w="1106"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404F942" w14:textId="77777777" w:rsidR="00D463AC" w:rsidRPr="00D463AC" w:rsidRDefault="00D463AC" w:rsidP="004D3853">
            <w:pPr>
              <w:jc w:val="center"/>
              <w:rPr>
                <w:rFonts w:ascii="微软雅黑" w:eastAsia="微软雅黑" w:hAnsi="微软雅黑"/>
                <w:sz w:val="16"/>
                <w:szCs w:val="16"/>
              </w:rPr>
            </w:pPr>
            <w:r w:rsidRPr="00D463AC">
              <w:rPr>
                <w:rFonts w:ascii="微软雅黑" w:eastAsia="微软雅黑" w:hAnsi="微软雅黑" w:hint="eastAsia"/>
                <w:sz w:val="16"/>
                <w:szCs w:val="16"/>
              </w:rPr>
              <w:t>民银行、财政部、银保监会、证监会、国家外汇管理局</w:t>
            </w:r>
          </w:p>
        </w:tc>
        <w:tc>
          <w:tcPr>
            <w:tcW w:w="684"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DDB2C98"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01/31</w:t>
            </w:r>
          </w:p>
        </w:tc>
        <w:tc>
          <w:tcPr>
            <w:tcW w:w="3210"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C4AB855"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关于进一步强化金融支持防控新型冠状病毒感染肺炎疫情的通知</w:t>
            </w:r>
          </w:p>
        </w:tc>
      </w:tr>
      <w:tr w:rsidR="00D463AC" w:rsidRPr="007E3E8F" w14:paraId="7A5F81D5"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7AD80DB"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财政部</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6350EB4"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02/01</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C81CB42"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关于支持金融强化服务做好新型冠状病毒感染肺炎疫情防控工作的通知</w:t>
            </w:r>
          </w:p>
        </w:tc>
      </w:tr>
      <w:tr w:rsidR="00D463AC" w:rsidRPr="00955D2A" w14:paraId="388013F1"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D04C6EF"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国务院</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B5090B8"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02/05</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CCCD123"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国务院常务会议确定支持疫情防控和相关行业企业的财税金融政策</w:t>
            </w:r>
          </w:p>
        </w:tc>
      </w:tr>
      <w:tr w:rsidR="00D463AC" w:rsidRPr="007E3E8F" w14:paraId="0476807B"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489D16E"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发改委</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6342A5F"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02/05</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A4A6E4E"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关于应对新型冠状病毒感染肺炎疫情，支持鼓励劳动者参与线上职业技能培训的通知</w:t>
            </w:r>
          </w:p>
        </w:tc>
      </w:tr>
      <w:tr w:rsidR="00D463AC" w:rsidRPr="007E3E8F" w14:paraId="61486BE9"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12B8F80"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人社部</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F2D10C6"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02/05</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EE9254A"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关于做好疫情防控期间有关就业工作的通知</w:t>
            </w:r>
          </w:p>
        </w:tc>
      </w:tr>
      <w:tr w:rsidR="00D463AC" w:rsidRPr="007E3E8F" w14:paraId="1CCFEFEB"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260B64B" w14:textId="77777777" w:rsidR="00D463AC" w:rsidRPr="00D463AC" w:rsidRDefault="00D463AC" w:rsidP="004D3853">
            <w:pPr>
              <w:jc w:val="center"/>
              <w:rPr>
                <w:rFonts w:ascii="微软雅黑" w:eastAsia="微软雅黑" w:hAnsi="微软雅黑"/>
                <w:sz w:val="16"/>
                <w:szCs w:val="16"/>
              </w:rPr>
            </w:pPr>
            <w:r w:rsidRPr="00D463AC">
              <w:rPr>
                <w:rFonts w:ascii="微软雅黑" w:eastAsia="微软雅黑" w:hAnsi="微软雅黑" w:hint="eastAsia"/>
                <w:sz w:val="16"/>
                <w:szCs w:val="16"/>
              </w:rPr>
              <w:t>财政部、税务总局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33E1D4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02/06</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0F547CA"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财政部发布关于支持新型冠状病毒感的染肺炎疫情防控有关税收政策的公告</w:t>
            </w:r>
          </w:p>
        </w:tc>
      </w:tr>
      <w:tr w:rsidR="00D463AC" w:rsidRPr="007E3E8F" w14:paraId="00B24627" w14:textId="77777777" w:rsidTr="00131FF8">
        <w:trPr>
          <w:trHeight w:val="742"/>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033D48C" w14:textId="77777777" w:rsidR="00D463AC" w:rsidRPr="00D463AC" w:rsidRDefault="00D463AC" w:rsidP="004D3853">
            <w:pPr>
              <w:jc w:val="center"/>
              <w:rPr>
                <w:rFonts w:ascii="微软雅黑" w:eastAsia="微软雅黑" w:hAnsi="微软雅黑"/>
                <w:sz w:val="16"/>
                <w:szCs w:val="16"/>
              </w:rPr>
            </w:pPr>
            <w:r w:rsidRPr="00D463AC">
              <w:rPr>
                <w:rFonts w:ascii="微软雅黑" w:eastAsia="微软雅黑" w:hAnsi="微软雅黑" w:hint="eastAsia"/>
                <w:sz w:val="16"/>
                <w:szCs w:val="16"/>
              </w:rPr>
              <w:t>财政部、发改委、工信部、人民银行和审计署</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F6DF85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02/07</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8DC2634"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财政部、发展改革委、工业和信息化部、人民银行和审计署发布打赢疫情防控阻击战，强化疫情防控重点保障企业资金支持的紧急通知</w:t>
            </w:r>
          </w:p>
        </w:tc>
      </w:tr>
      <w:tr w:rsidR="00D463AC" w:rsidRPr="007E3E8F" w14:paraId="54F07207"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239EE8E"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人民银行</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38193C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02/07</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D0E3411"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召开电视电话会议部署专项再贷款支持疫情防控工作</w:t>
            </w:r>
          </w:p>
        </w:tc>
      </w:tr>
      <w:tr w:rsidR="00D463AC" w:rsidRPr="007E3E8F" w14:paraId="1F95E736"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7534824"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lastRenderedPageBreak/>
              <w:t>发改委</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1035F80"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02/08</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97383D9"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国家发展改革委办公厅关于疫情防控期间做好企业债券工作的通知</w:t>
            </w:r>
          </w:p>
        </w:tc>
      </w:tr>
      <w:tr w:rsidR="00D463AC" w:rsidRPr="007E3E8F" w14:paraId="6BD7B5E7"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4D3D21D"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人大法工委</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D309805"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10</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C44F0D4"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明确</w:t>
            </w:r>
            <w:r w:rsidRPr="00D463AC">
              <w:rPr>
                <w:rFonts w:ascii="微软雅黑" w:eastAsia="微软雅黑" w:hAnsi="微软雅黑"/>
                <w:sz w:val="16"/>
                <w:szCs w:val="16"/>
              </w:rPr>
              <w:t>此次疫情防控影响到合同履行的情况，属于不可抗力的情形</w:t>
            </w:r>
          </w:p>
        </w:tc>
      </w:tr>
      <w:tr w:rsidR="00D463AC" w:rsidRPr="007E3E8F" w14:paraId="1FAC9082"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D6A444C"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0CAE850"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10</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33EEA3B"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关于充分发挥税收职能作用</w:t>
            </w:r>
            <w:r w:rsidRPr="00D463AC">
              <w:rPr>
                <w:rFonts w:ascii="微软雅黑" w:eastAsia="微软雅黑" w:hAnsi="微软雅黑"/>
                <w:sz w:val="16"/>
                <w:szCs w:val="16"/>
              </w:rPr>
              <w:t xml:space="preserve"> 助力打赢疫情防控阻击战若干措施的通知</w:t>
            </w:r>
          </w:p>
        </w:tc>
      </w:tr>
      <w:tr w:rsidR="00D463AC" w:rsidRPr="007E3E8F" w14:paraId="0C7D248B"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A309D9C"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61B34B6"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10</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CC213C5"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国家税务总局关于支持新型冠状病毒感染的肺炎疫情防控有关税收征收管理事项的公告</w:t>
            </w:r>
          </w:p>
        </w:tc>
      </w:tr>
      <w:tr w:rsidR="00D463AC" w:rsidRPr="007E3E8F" w14:paraId="46F25ED1"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7EF8FE9"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C70A5F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11</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89B3FFC"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新冠肺炎疫情防控税收优惠政策指引</w:t>
            </w:r>
          </w:p>
        </w:tc>
      </w:tr>
      <w:tr w:rsidR="00D463AC" w:rsidRPr="007E3E8F" w14:paraId="0A5E0F37"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B2C6193"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0A82296"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2/17</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D43BAB1"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关于进一步延长</w:t>
            </w:r>
            <w:r w:rsidRPr="00D463AC">
              <w:rPr>
                <w:rFonts w:ascii="微软雅黑" w:eastAsia="微软雅黑" w:hAnsi="微软雅黑"/>
                <w:sz w:val="16"/>
                <w:szCs w:val="16"/>
              </w:rPr>
              <w:t>2020年2月份纳税申报期限有关事项的通知</w:t>
            </w:r>
          </w:p>
        </w:tc>
      </w:tr>
      <w:tr w:rsidR="00D463AC" w:rsidRPr="007E3E8F" w14:paraId="25B9E543"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57A6E9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4F0BCB7"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2/20</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284A4FA"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关于做好新型冠状病毒感染的肺炎疫情防控期间出口退（免）税有关工作的通知</w:t>
            </w:r>
          </w:p>
        </w:tc>
      </w:tr>
      <w:tr w:rsidR="00D463AC" w:rsidRPr="007E3E8F" w14:paraId="2EBEB6A0"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79CF808" w14:textId="77777777" w:rsidR="00D463AC" w:rsidRPr="00D463AC" w:rsidRDefault="00D463AC" w:rsidP="004D3853">
            <w:pPr>
              <w:jc w:val="center"/>
              <w:rPr>
                <w:rFonts w:ascii="微软雅黑" w:eastAsia="微软雅黑" w:hAnsi="微软雅黑"/>
                <w:sz w:val="16"/>
                <w:szCs w:val="16"/>
              </w:rPr>
            </w:pPr>
            <w:r w:rsidRPr="00D463AC">
              <w:rPr>
                <w:rFonts w:ascii="微软雅黑" w:eastAsia="微软雅黑" w:hAnsi="微软雅黑" w:hint="eastAsia"/>
                <w:sz w:val="16"/>
                <w:szCs w:val="16"/>
              </w:rPr>
              <w:t>人力资源社会保障部、</w:t>
            </w:r>
            <w:r w:rsidRPr="00D463AC">
              <w:rPr>
                <w:rFonts w:ascii="微软雅黑" w:eastAsia="微软雅黑" w:hAnsi="微软雅黑"/>
                <w:sz w:val="16"/>
                <w:szCs w:val="16"/>
              </w:rPr>
              <w:t xml:space="preserve"> 财政部</w:t>
            </w:r>
            <w:r w:rsidRPr="00D463AC">
              <w:rPr>
                <w:rFonts w:ascii="微软雅黑" w:eastAsia="微软雅黑" w:hAnsi="微软雅黑" w:hint="eastAsia"/>
                <w:sz w:val="16"/>
                <w:szCs w:val="16"/>
              </w:rPr>
              <w:t>、</w:t>
            </w:r>
            <w:r w:rsidRPr="00D463AC">
              <w:rPr>
                <w:rFonts w:ascii="微软雅黑" w:eastAsia="微软雅黑" w:hAnsi="微软雅黑"/>
                <w:sz w:val="16"/>
                <w:szCs w:val="16"/>
              </w:rPr>
              <w:t>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BE429B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2/20</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B203C86"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关于阶段性减免企业社会保险费的通知</w:t>
            </w:r>
          </w:p>
        </w:tc>
      </w:tr>
      <w:tr w:rsidR="00D463AC" w:rsidRPr="007E3E8F" w14:paraId="398A5918"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570D8B6" w14:textId="77777777" w:rsidR="00D463AC" w:rsidRPr="00D463AC" w:rsidRDefault="00D463AC" w:rsidP="004D3853">
            <w:pPr>
              <w:jc w:val="center"/>
              <w:rPr>
                <w:rFonts w:ascii="微软雅黑" w:eastAsia="微软雅黑" w:hAnsi="微软雅黑"/>
                <w:sz w:val="16"/>
                <w:szCs w:val="16"/>
              </w:rPr>
            </w:pPr>
            <w:bookmarkStart w:id="0" w:name="_Hlk33770346"/>
            <w:r w:rsidRPr="00D463AC">
              <w:rPr>
                <w:rFonts w:ascii="微软雅黑" w:eastAsia="微软雅黑" w:hAnsi="微软雅黑" w:hint="eastAsia"/>
                <w:sz w:val="16"/>
                <w:szCs w:val="16"/>
              </w:rPr>
              <w:t>国家医保局、</w:t>
            </w:r>
            <w:r w:rsidRPr="00D463AC">
              <w:rPr>
                <w:rFonts w:ascii="微软雅黑" w:eastAsia="微软雅黑" w:hAnsi="微软雅黑"/>
                <w:sz w:val="16"/>
                <w:szCs w:val="16"/>
              </w:rPr>
              <w:t>财政部</w:t>
            </w:r>
            <w:r w:rsidRPr="00D463AC">
              <w:rPr>
                <w:rFonts w:ascii="微软雅黑" w:eastAsia="微软雅黑" w:hAnsi="微软雅黑" w:hint="eastAsia"/>
                <w:sz w:val="16"/>
                <w:szCs w:val="16"/>
              </w:rPr>
              <w:t>、</w:t>
            </w:r>
            <w:r w:rsidRPr="00D463AC">
              <w:rPr>
                <w:rFonts w:ascii="微软雅黑" w:eastAsia="微软雅黑" w:hAnsi="微软雅黑"/>
                <w:sz w:val="16"/>
                <w:szCs w:val="16"/>
              </w:rPr>
              <w:t xml:space="preserve"> 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536ADFC"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21</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DBD7DA8"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关于阶段性减征职工基本医疗保险费的指导意见</w:t>
            </w:r>
          </w:p>
        </w:tc>
      </w:tr>
      <w:tr w:rsidR="00D463AC" w:rsidRPr="007E3E8F" w14:paraId="41BC9C95"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B88B701" w14:textId="77777777" w:rsidR="00D463AC" w:rsidRPr="00D463AC" w:rsidRDefault="00D463AC" w:rsidP="004D3853">
            <w:pPr>
              <w:jc w:val="center"/>
              <w:rPr>
                <w:rFonts w:ascii="微软雅黑" w:eastAsia="微软雅黑" w:hAnsi="微软雅黑"/>
                <w:sz w:val="16"/>
                <w:szCs w:val="16"/>
              </w:rPr>
            </w:pPr>
            <w:r w:rsidRPr="00D463AC">
              <w:rPr>
                <w:rFonts w:ascii="微软雅黑" w:eastAsia="微软雅黑" w:hAnsi="微软雅黑" w:hint="eastAsia"/>
                <w:sz w:val="16"/>
                <w:szCs w:val="16"/>
              </w:rPr>
              <w:t>国家发展改革委</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6E14734"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22</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B756550"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关于阶段性降低企业用电成本支持企业复工复产的通知</w:t>
            </w:r>
          </w:p>
        </w:tc>
      </w:tr>
      <w:bookmarkEnd w:id="0"/>
      <w:tr w:rsidR="00D463AC" w:rsidRPr="007E3E8F" w14:paraId="63B84513"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BCFD6E4"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F73F611"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25</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EB3D326"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关于贯彻落实阶段性减免企业社会保险费政策的通知</w:t>
            </w:r>
          </w:p>
        </w:tc>
      </w:tr>
      <w:tr w:rsidR="00D463AC" w:rsidRPr="007E3E8F" w14:paraId="23C4FF2E"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F3ED5CD"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国家税务总局</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89CE288"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27</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5AB32B4"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关于开展</w:t>
            </w:r>
            <w:r w:rsidRPr="00D463AC">
              <w:rPr>
                <w:rFonts w:ascii="微软雅黑" w:eastAsia="微软雅黑" w:hAnsi="微软雅黑"/>
                <w:sz w:val="16"/>
                <w:szCs w:val="16"/>
              </w:rPr>
              <w:t>2020年“便民办税春风行动”的意见</w:t>
            </w:r>
          </w:p>
        </w:tc>
      </w:tr>
      <w:tr w:rsidR="00D463AC" w:rsidRPr="007E3E8F" w14:paraId="0F3FA877"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77E4EBE"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国家发展改革委办公厅、</w:t>
            </w:r>
            <w:r w:rsidRPr="00D463AC">
              <w:rPr>
                <w:rFonts w:ascii="微软雅黑" w:eastAsia="微软雅黑" w:hAnsi="微软雅黑"/>
                <w:sz w:val="16"/>
                <w:szCs w:val="16"/>
              </w:rPr>
              <w:t>民政部办公厅</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39FB05B"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2</w:t>
            </w:r>
            <w:r w:rsidRPr="00D463AC">
              <w:rPr>
                <w:rFonts w:ascii="微软雅黑" w:eastAsia="微软雅黑" w:hAnsi="微软雅黑" w:hint="eastAsia"/>
                <w:sz w:val="16"/>
                <w:szCs w:val="16"/>
              </w:rPr>
              <w:t>/</w:t>
            </w:r>
            <w:r w:rsidRPr="00D463AC">
              <w:rPr>
                <w:rFonts w:ascii="微软雅黑" w:eastAsia="微软雅黑" w:hAnsi="微软雅黑"/>
                <w:sz w:val="16"/>
                <w:szCs w:val="16"/>
              </w:rPr>
              <w:t>27</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03D6B06"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sz w:val="16"/>
                <w:szCs w:val="16"/>
              </w:rPr>
              <w:t>关于积极发挥行业协会商会作用</w:t>
            </w:r>
            <w:r w:rsidRPr="00D463AC">
              <w:rPr>
                <w:rFonts w:ascii="微软雅黑" w:eastAsia="微软雅黑" w:hAnsi="微软雅黑" w:hint="eastAsia"/>
                <w:sz w:val="16"/>
                <w:szCs w:val="16"/>
              </w:rPr>
              <w:t>,支持民营中小企业复工复产的通知</w:t>
            </w:r>
          </w:p>
        </w:tc>
      </w:tr>
      <w:tr w:rsidR="00D463AC" w:rsidRPr="007E3E8F" w14:paraId="4A8A2546"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82E8432"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国家发展改革委</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B923706"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02/28</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355B83F"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国家发展改革委关于阶段性减免部分征信服务收费的通知</w:t>
            </w:r>
          </w:p>
        </w:tc>
      </w:tr>
      <w:tr w:rsidR="00D463AC" w:rsidRPr="007E3E8F" w14:paraId="14B01919"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0C4C6D9"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银保监会、</w:t>
            </w:r>
            <w:r w:rsidRPr="00D463AC">
              <w:rPr>
                <w:rFonts w:ascii="微软雅黑" w:eastAsia="微软雅黑" w:hAnsi="微软雅黑"/>
                <w:sz w:val="16"/>
                <w:szCs w:val="16"/>
              </w:rPr>
              <w:t>人民银行</w:t>
            </w:r>
            <w:r w:rsidRPr="00D463AC">
              <w:rPr>
                <w:rFonts w:ascii="微软雅黑" w:eastAsia="微软雅黑" w:hAnsi="微软雅黑" w:hint="eastAsia"/>
                <w:sz w:val="16"/>
                <w:szCs w:val="16"/>
              </w:rPr>
              <w:t>、</w:t>
            </w:r>
            <w:r w:rsidRPr="00D463AC">
              <w:rPr>
                <w:rFonts w:ascii="微软雅黑" w:eastAsia="微软雅黑" w:hAnsi="微软雅黑"/>
                <w:sz w:val="16"/>
                <w:szCs w:val="16"/>
              </w:rPr>
              <w:t xml:space="preserve"> 发展改革委</w:t>
            </w:r>
            <w:r w:rsidRPr="00D463AC">
              <w:rPr>
                <w:rFonts w:ascii="微软雅黑" w:eastAsia="微软雅黑" w:hAnsi="微软雅黑" w:hint="eastAsia"/>
                <w:sz w:val="16"/>
                <w:szCs w:val="16"/>
              </w:rPr>
              <w:t>、</w:t>
            </w:r>
            <w:r w:rsidRPr="00D463AC">
              <w:rPr>
                <w:rFonts w:ascii="微软雅黑" w:eastAsia="微软雅黑" w:hAnsi="微软雅黑"/>
                <w:sz w:val="16"/>
                <w:szCs w:val="16"/>
              </w:rPr>
              <w:t>工业和信息化部</w:t>
            </w:r>
            <w:r w:rsidRPr="00D463AC">
              <w:rPr>
                <w:rFonts w:ascii="微软雅黑" w:eastAsia="微软雅黑" w:hAnsi="微软雅黑" w:hint="eastAsia"/>
                <w:sz w:val="16"/>
                <w:szCs w:val="16"/>
              </w:rPr>
              <w:t>、</w:t>
            </w:r>
            <w:r w:rsidRPr="00D463AC">
              <w:rPr>
                <w:rFonts w:ascii="微软雅黑" w:eastAsia="微软雅黑" w:hAnsi="微软雅黑"/>
                <w:sz w:val="16"/>
                <w:szCs w:val="16"/>
              </w:rPr>
              <w:t>财政部</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80D3333"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3</w:t>
            </w:r>
            <w:r w:rsidRPr="00D463AC">
              <w:rPr>
                <w:rFonts w:ascii="微软雅黑" w:eastAsia="微软雅黑" w:hAnsi="微软雅黑" w:hint="eastAsia"/>
                <w:sz w:val="16"/>
                <w:szCs w:val="16"/>
              </w:rPr>
              <w:t>/</w:t>
            </w:r>
            <w:r w:rsidRPr="00D463AC">
              <w:rPr>
                <w:rFonts w:ascii="微软雅黑" w:eastAsia="微软雅黑" w:hAnsi="微软雅黑"/>
                <w:sz w:val="16"/>
                <w:szCs w:val="16"/>
              </w:rPr>
              <w:t>01</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D71E020"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sz w:val="16"/>
                <w:szCs w:val="16"/>
              </w:rPr>
              <w:t>关于对中小微企业贷款实施临时性延期还本付息的通知</w:t>
            </w:r>
          </w:p>
        </w:tc>
      </w:tr>
      <w:tr w:rsidR="00D463AC" w:rsidRPr="007E3E8F" w14:paraId="348460BB" w14:textId="77777777" w:rsidTr="00131FF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2BF9618" w14:textId="77777777" w:rsidR="00D463AC" w:rsidRPr="00D463AC" w:rsidRDefault="00D463AC" w:rsidP="004D3853">
            <w:pPr>
              <w:ind w:firstLineChars="83" w:firstLine="133"/>
              <w:jc w:val="center"/>
              <w:rPr>
                <w:rFonts w:ascii="微软雅黑" w:eastAsia="微软雅黑" w:hAnsi="微软雅黑"/>
                <w:sz w:val="16"/>
                <w:szCs w:val="16"/>
              </w:rPr>
            </w:pPr>
            <w:r w:rsidRPr="00D463AC">
              <w:rPr>
                <w:rFonts w:ascii="微软雅黑" w:eastAsia="微软雅黑" w:hAnsi="微软雅黑" w:hint="eastAsia"/>
                <w:sz w:val="16"/>
                <w:szCs w:val="16"/>
              </w:rPr>
              <w:t>国务院办公厅</w:t>
            </w:r>
          </w:p>
        </w:tc>
        <w:tc>
          <w:tcPr>
            <w:tcW w:w="68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AEDF188" w14:textId="77777777" w:rsidR="00D463AC" w:rsidRPr="00D463AC" w:rsidRDefault="00D463AC" w:rsidP="004D3853">
            <w:pPr>
              <w:ind w:firstLineChars="83" w:firstLine="133"/>
              <w:jc w:val="both"/>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3</w:t>
            </w:r>
            <w:r w:rsidRPr="00D463AC">
              <w:rPr>
                <w:rFonts w:ascii="微软雅黑" w:eastAsia="微软雅黑" w:hAnsi="微软雅黑" w:hint="eastAsia"/>
                <w:sz w:val="16"/>
                <w:szCs w:val="16"/>
              </w:rPr>
              <w:t>/</w:t>
            </w:r>
            <w:r w:rsidRPr="00D463AC">
              <w:rPr>
                <w:rFonts w:ascii="微软雅黑" w:eastAsia="微软雅黑" w:hAnsi="微软雅黑"/>
                <w:sz w:val="16"/>
                <w:szCs w:val="16"/>
              </w:rPr>
              <w:t>04</w:t>
            </w:r>
          </w:p>
        </w:tc>
        <w:tc>
          <w:tcPr>
            <w:tcW w:w="321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557CDF1" w14:textId="77777777" w:rsidR="00D463AC" w:rsidRPr="00D463AC" w:rsidRDefault="00D463AC" w:rsidP="004D3853">
            <w:pPr>
              <w:jc w:val="both"/>
              <w:rPr>
                <w:rFonts w:ascii="微软雅黑" w:eastAsia="微软雅黑" w:hAnsi="微软雅黑"/>
                <w:sz w:val="16"/>
                <w:szCs w:val="16"/>
              </w:rPr>
            </w:pPr>
            <w:r w:rsidRPr="00D463AC">
              <w:rPr>
                <w:rFonts w:ascii="微软雅黑" w:eastAsia="微软雅黑" w:hAnsi="微软雅黑" w:hint="eastAsia"/>
                <w:sz w:val="16"/>
                <w:szCs w:val="16"/>
              </w:rPr>
              <w:t>国务院办公厅关于进一步精简审批优化服务精准稳妥推进企业复工复产的通知</w:t>
            </w:r>
          </w:p>
        </w:tc>
      </w:tr>
    </w:tbl>
    <w:p w14:paraId="557FB907" w14:textId="77777777" w:rsidR="00D463AC" w:rsidRPr="007E3E8F" w:rsidRDefault="00D463AC" w:rsidP="00D463AC">
      <w:pPr>
        <w:pStyle w:val="a5"/>
        <w:jc w:val="center"/>
      </w:pPr>
    </w:p>
    <w:p w14:paraId="75C793C4" w14:textId="77777777" w:rsidR="004D3853" w:rsidRDefault="004D3853" w:rsidP="00D463AC">
      <w:pPr>
        <w:pStyle w:val="a5"/>
        <w:jc w:val="center"/>
      </w:pPr>
    </w:p>
    <w:p w14:paraId="1FEA2C3E" w14:textId="764D7136" w:rsidR="00D463AC" w:rsidRDefault="00D463AC" w:rsidP="00D463AC">
      <w:pPr>
        <w:pStyle w:val="a5"/>
        <w:jc w:val="cente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59343E">
        <w:rPr>
          <w:noProof/>
        </w:rPr>
        <w:t>2</w:t>
      </w:r>
      <w:r>
        <w:fldChar w:fldCharType="end"/>
      </w:r>
      <w:r>
        <w:rPr>
          <w:rFonts w:hint="eastAsia"/>
        </w:rPr>
        <w:t>：</w:t>
      </w:r>
      <w:r w:rsidR="007D03A1">
        <w:rPr>
          <w:rFonts w:hint="eastAsia"/>
        </w:rPr>
        <w:t>陕西省</w:t>
      </w:r>
      <w:r w:rsidR="009E4603">
        <w:rPr>
          <w:rFonts w:hint="eastAsia"/>
        </w:rPr>
        <w:t>扶持政策及办法</w:t>
      </w:r>
      <w:r>
        <w:rPr>
          <w:rFonts w:hint="eastAsia"/>
        </w:rPr>
        <w:t>梳理</w:t>
      </w:r>
    </w:p>
    <w:tbl>
      <w:tblPr>
        <w:tblW w:w="5000" w:type="pct"/>
        <w:tblCellMar>
          <w:left w:w="0" w:type="dxa"/>
          <w:right w:w="0" w:type="dxa"/>
        </w:tblCellMar>
        <w:tblLook w:val="0420" w:firstRow="1" w:lastRow="0" w:firstColumn="0" w:lastColumn="0" w:noHBand="0" w:noVBand="1"/>
      </w:tblPr>
      <w:tblGrid>
        <w:gridCol w:w="1690"/>
        <w:gridCol w:w="6596"/>
      </w:tblGrid>
      <w:tr w:rsidR="007D03A1" w:rsidRPr="00FD71D4" w14:paraId="001C218D" w14:textId="77777777" w:rsidTr="007D5E46">
        <w:trPr>
          <w:trHeight w:val="584"/>
        </w:trPr>
        <w:tc>
          <w:tcPr>
            <w:tcW w:w="1020"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7EDC7837" w14:textId="77777777" w:rsidR="007D03A1" w:rsidRPr="00FD71D4" w:rsidRDefault="007D03A1" w:rsidP="000F155E">
            <w:pPr>
              <w:jc w:val="center"/>
              <w:rPr>
                <w:rFonts w:ascii="微软雅黑" w:eastAsia="微软雅黑" w:hAnsi="微软雅黑"/>
                <w:b/>
                <w:bCs/>
                <w:color w:val="FFFFFF" w:themeColor="background1"/>
                <w:sz w:val="16"/>
                <w:szCs w:val="16"/>
              </w:rPr>
            </w:pPr>
            <w:r w:rsidRPr="00FD71D4">
              <w:rPr>
                <w:rFonts w:ascii="微软雅黑" w:eastAsia="微软雅黑" w:hAnsi="微软雅黑" w:hint="eastAsia"/>
                <w:b/>
                <w:bCs/>
                <w:color w:val="FFFFFF" w:themeColor="background1"/>
                <w:sz w:val="16"/>
                <w:szCs w:val="16"/>
              </w:rPr>
              <w:t>时间</w:t>
            </w:r>
          </w:p>
        </w:tc>
        <w:tc>
          <w:tcPr>
            <w:tcW w:w="3980"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6AFCD249" w14:textId="77777777" w:rsidR="007D03A1" w:rsidRPr="00FD71D4" w:rsidRDefault="007D03A1" w:rsidP="000F155E">
            <w:pPr>
              <w:jc w:val="center"/>
              <w:rPr>
                <w:rFonts w:ascii="微软雅黑" w:eastAsia="微软雅黑" w:hAnsi="微软雅黑"/>
                <w:b/>
                <w:bCs/>
                <w:color w:val="FFFFFF" w:themeColor="background1"/>
                <w:sz w:val="16"/>
                <w:szCs w:val="16"/>
              </w:rPr>
            </w:pPr>
            <w:r w:rsidRPr="00FD71D4">
              <w:rPr>
                <w:rFonts w:ascii="微软雅黑" w:eastAsia="微软雅黑" w:hAnsi="微软雅黑" w:hint="eastAsia"/>
                <w:b/>
                <w:bCs/>
                <w:color w:val="FFFFFF" w:themeColor="background1"/>
                <w:sz w:val="16"/>
                <w:szCs w:val="16"/>
              </w:rPr>
              <w:t>相关政策</w:t>
            </w:r>
          </w:p>
        </w:tc>
      </w:tr>
      <w:tr w:rsidR="007D03A1" w:rsidRPr="006A5445" w14:paraId="7D91F006" w14:textId="77777777" w:rsidTr="007D5E46">
        <w:trPr>
          <w:trHeight w:val="584"/>
        </w:trPr>
        <w:tc>
          <w:tcPr>
            <w:tcW w:w="1020" w:type="pct"/>
            <w:tcBorders>
              <w:top w:val="single" w:sz="24"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7373D93" w14:textId="4456FFD9" w:rsidR="007D03A1" w:rsidRPr="00FD71D4" w:rsidRDefault="007D03A1" w:rsidP="000F155E">
            <w:pPr>
              <w:adjustRightInd w:val="0"/>
              <w:snapToGrid w:val="0"/>
              <w:ind w:firstLineChars="83" w:firstLine="133"/>
              <w:jc w:val="center"/>
              <w:rPr>
                <w:rFonts w:ascii="微软雅黑" w:eastAsia="微软雅黑" w:hAnsi="微软雅黑"/>
                <w:sz w:val="16"/>
                <w:szCs w:val="16"/>
              </w:rPr>
            </w:pPr>
            <w:r>
              <w:rPr>
                <w:rFonts w:ascii="微软雅黑" w:eastAsia="微软雅黑" w:hAnsi="微软雅黑" w:hint="eastAsia"/>
                <w:sz w:val="16"/>
                <w:szCs w:val="16"/>
              </w:rPr>
              <w:t>01/27</w:t>
            </w:r>
          </w:p>
        </w:tc>
        <w:tc>
          <w:tcPr>
            <w:tcW w:w="3980"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D4224FE" w14:textId="44901BE5" w:rsidR="007D03A1" w:rsidRDefault="007D03A1" w:rsidP="000F155E">
            <w:pPr>
              <w:adjustRightInd w:val="0"/>
              <w:snapToGrid w:val="0"/>
              <w:ind w:firstLineChars="83" w:firstLine="133"/>
              <w:jc w:val="center"/>
              <w:rPr>
                <w:rFonts w:ascii="微软雅黑" w:eastAsia="微软雅黑" w:hAnsi="微软雅黑"/>
                <w:sz w:val="16"/>
                <w:szCs w:val="16"/>
              </w:rPr>
            </w:pPr>
            <w:r w:rsidRPr="007D03A1">
              <w:rPr>
                <w:rFonts w:ascii="微软雅黑" w:eastAsia="微软雅黑" w:hAnsi="微软雅黑" w:hint="eastAsia"/>
                <w:sz w:val="16"/>
                <w:szCs w:val="16"/>
              </w:rPr>
              <w:t>陕西省人民政府关于加强新型冠状病毒感染的肺炎防控工作的通告</w:t>
            </w:r>
          </w:p>
        </w:tc>
      </w:tr>
      <w:tr w:rsidR="007D03A1" w:rsidRPr="006A5445" w14:paraId="446DD2D5" w14:textId="77777777" w:rsidTr="007D5E46">
        <w:trPr>
          <w:trHeight w:val="584"/>
        </w:trPr>
        <w:tc>
          <w:tcPr>
            <w:tcW w:w="1020" w:type="pct"/>
            <w:tcBorders>
              <w:top w:val="single" w:sz="24"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8C3FA11" w14:textId="7E3BBD4E" w:rsidR="007D03A1" w:rsidRDefault="007D03A1" w:rsidP="000F155E">
            <w:pPr>
              <w:adjustRightInd w:val="0"/>
              <w:snapToGrid w:val="0"/>
              <w:ind w:firstLineChars="83" w:firstLine="133"/>
              <w:jc w:val="center"/>
              <w:rPr>
                <w:rFonts w:ascii="微软雅黑" w:eastAsia="微软雅黑" w:hAnsi="微软雅黑"/>
                <w:sz w:val="16"/>
                <w:szCs w:val="16"/>
              </w:rPr>
            </w:pPr>
            <w:r>
              <w:rPr>
                <w:rFonts w:ascii="微软雅黑" w:eastAsia="微软雅黑" w:hAnsi="微软雅黑" w:hint="eastAsia"/>
                <w:sz w:val="16"/>
                <w:szCs w:val="16"/>
              </w:rPr>
              <w:t>01/29</w:t>
            </w:r>
          </w:p>
        </w:tc>
        <w:tc>
          <w:tcPr>
            <w:tcW w:w="3980"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1492713" w14:textId="77777777" w:rsidR="007D03A1" w:rsidRPr="007D03A1" w:rsidRDefault="007D03A1" w:rsidP="007D03A1">
            <w:pPr>
              <w:adjustRightInd w:val="0"/>
              <w:snapToGrid w:val="0"/>
              <w:ind w:firstLineChars="83" w:firstLine="133"/>
              <w:jc w:val="center"/>
              <w:rPr>
                <w:rFonts w:ascii="微软雅黑" w:eastAsia="微软雅黑" w:hAnsi="微软雅黑"/>
                <w:sz w:val="16"/>
                <w:szCs w:val="16"/>
              </w:rPr>
            </w:pPr>
            <w:r w:rsidRPr="007D03A1">
              <w:rPr>
                <w:rFonts w:ascii="微软雅黑" w:eastAsia="微软雅黑" w:hAnsi="微软雅黑" w:hint="eastAsia"/>
                <w:sz w:val="16"/>
                <w:szCs w:val="16"/>
              </w:rPr>
              <w:t>陕西省人力资源和社会保障厅</w:t>
            </w:r>
          </w:p>
          <w:p w14:paraId="115D540B" w14:textId="5948927E" w:rsidR="007D03A1" w:rsidRPr="007D03A1" w:rsidRDefault="007D03A1" w:rsidP="007D03A1">
            <w:pPr>
              <w:adjustRightInd w:val="0"/>
              <w:snapToGrid w:val="0"/>
              <w:ind w:firstLineChars="83" w:firstLine="133"/>
              <w:jc w:val="center"/>
              <w:rPr>
                <w:rFonts w:ascii="微软雅黑" w:eastAsia="微软雅黑" w:hAnsi="微软雅黑"/>
                <w:sz w:val="16"/>
                <w:szCs w:val="16"/>
              </w:rPr>
            </w:pPr>
            <w:r w:rsidRPr="007D03A1">
              <w:rPr>
                <w:rFonts w:ascii="微软雅黑" w:eastAsia="微软雅黑" w:hAnsi="微软雅黑" w:hint="eastAsia"/>
                <w:sz w:val="16"/>
                <w:szCs w:val="16"/>
              </w:rPr>
              <w:t>关于妥善处理新型冠状病毒感染的肺炎疫情防控期间劳动关系问题的通知</w:t>
            </w:r>
          </w:p>
        </w:tc>
      </w:tr>
      <w:tr w:rsidR="007D03A1" w:rsidRPr="006A5445" w14:paraId="70FA3A32" w14:textId="77777777" w:rsidTr="007D5E46">
        <w:trPr>
          <w:trHeight w:val="584"/>
        </w:trPr>
        <w:tc>
          <w:tcPr>
            <w:tcW w:w="1020" w:type="pct"/>
            <w:vMerge w:val="restart"/>
            <w:tcBorders>
              <w:top w:val="single" w:sz="24"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3F821BC" w14:textId="7AAA32E3" w:rsidR="007D03A1" w:rsidRPr="00FD71D4" w:rsidRDefault="007D03A1" w:rsidP="007D5E46">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02/01</w:t>
            </w:r>
          </w:p>
        </w:tc>
        <w:tc>
          <w:tcPr>
            <w:tcW w:w="3980"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1331D5D" w14:textId="4E418CFB" w:rsidR="007D03A1" w:rsidRPr="00FD71D4" w:rsidRDefault="007D03A1" w:rsidP="000F155E">
            <w:pPr>
              <w:adjustRightInd w:val="0"/>
              <w:snapToGrid w:val="0"/>
              <w:ind w:firstLineChars="83" w:firstLine="133"/>
              <w:jc w:val="center"/>
              <w:rPr>
                <w:rFonts w:ascii="微软雅黑" w:eastAsia="微软雅黑" w:hAnsi="微软雅黑"/>
                <w:sz w:val="16"/>
                <w:szCs w:val="16"/>
              </w:rPr>
            </w:pPr>
            <w:r>
              <w:rPr>
                <w:rFonts w:ascii="微软雅黑" w:eastAsia="微软雅黑" w:hAnsi="微软雅黑" w:hint="eastAsia"/>
                <w:sz w:val="16"/>
                <w:szCs w:val="16"/>
              </w:rPr>
              <w:t>复工复产疫情防控要做到八个“严格落实”</w:t>
            </w:r>
          </w:p>
        </w:tc>
      </w:tr>
      <w:tr w:rsidR="007D03A1" w:rsidRPr="006A5445" w14:paraId="471DE108" w14:textId="77777777" w:rsidTr="007D5E46">
        <w:trPr>
          <w:trHeight w:val="584"/>
        </w:trPr>
        <w:tc>
          <w:tcPr>
            <w:tcW w:w="1020" w:type="pct"/>
            <w:vMerge/>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114B425" w14:textId="355A37BA" w:rsidR="007D03A1" w:rsidRPr="00FD71D4" w:rsidRDefault="007D03A1" w:rsidP="000F155E">
            <w:pPr>
              <w:adjustRightInd w:val="0"/>
              <w:snapToGrid w:val="0"/>
              <w:ind w:firstLineChars="83" w:firstLine="133"/>
              <w:jc w:val="center"/>
              <w:rPr>
                <w:rFonts w:ascii="微软雅黑" w:eastAsia="微软雅黑" w:hAnsi="微软雅黑"/>
                <w:sz w:val="16"/>
                <w:szCs w:val="16"/>
              </w:rPr>
            </w:pP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24FB6A1" w14:textId="475FE7A3" w:rsidR="007D03A1" w:rsidRPr="00FD71D4" w:rsidRDefault="007D03A1" w:rsidP="000F155E">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关于防控新型冠状病毒感染的肺</w:t>
            </w:r>
            <w:r w:rsidRPr="007D03A1">
              <w:rPr>
                <w:rFonts w:ascii="微软雅黑" w:eastAsia="微软雅黑" w:hAnsi="微软雅黑"/>
                <w:sz w:val="16"/>
                <w:szCs w:val="16"/>
              </w:rPr>
              <w:t>炎疫情进口物资免税政策的公告</w:t>
            </w:r>
          </w:p>
        </w:tc>
      </w:tr>
      <w:tr w:rsidR="007D03A1" w:rsidRPr="006A5445" w14:paraId="02F41565" w14:textId="77777777" w:rsidTr="007D5E46">
        <w:trPr>
          <w:trHeight w:val="584"/>
        </w:trPr>
        <w:tc>
          <w:tcPr>
            <w:tcW w:w="1020" w:type="pct"/>
            <w:vMerge w:val="restart"/>
            <w:tcBorders>
              <w:top w:val="single" w:sz="8"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81A7E85" w14:textId="7C9411D3" w:rsidR="007D03A1" w:rsidRPr="00FD71D4" w:rsidRDefault="007D03A1" w:rsidP="007D03A1">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11</w:t>
            </w: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B7497E6" w14:textId="5028C6D0" w:rsidR="007D03A1" w:rsidRPr="00FD71D4" w:rsidRDefault="007D03A1" w:rsidP="007D03A1">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工信部出台二十条政策措施支持中小企业复工复产渡过难关</w:t>
            </w:r>
          </w:p>
        </w:tc>
      </w:tr>
      <w:tr w:rsidR="007D03A1" w:rsidRPr="006A5445" w14:paraId="0F39622C" w14:textId="77777777" w:rsidTr="007D5E46">
        <w:trPr>
          <w:trHeight w:val="584"/>
        </w:trPr>
        <w:tc>
          <w:tcPr>
            <w:tcW w:w="1020" w:type="pct"/>
            <w:vMerge/>
            <w:tcBorders>
              <w:left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63BFCBE" w14:textId="48EB583F" w:rsidR="007D03A1" w:rsidRPr="00FD71D4" w:rsidRDefault="007D03A1" w:rsidP="000F155E">
            <w:pPr>
              <w:adjustRightInd w:val="0"/>
              <w:snapToGrid w:val="0"/>
              <w:ind w:firstLineChars="83" w:firstLine="133"/>
              <w:jc w:val="center"/>
              <w:rPr>
                <w:rFonts w:ascii="微软雅黑" w:eastAsia="微软雅黑" w:hAnsi="微软雅黑"/>
                <w:sz w:val="16"/>
                <w:szCs w:val="16"/>
              </w:rPr>
            </w:pP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65BEA55" w14:textId="291E003F" w:rsidR="007D03A1" w:rsidRPr="00FD71D4" w:rsidRDefault="007D03A1" w:rsidP="000F155E">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陕西省人民政府关于坚决打赢疫情防控阻击战促进经济平稳健康发展的意见</w:t>
            </w:r>
          </w:p>
        </w:tc>
      </w:tr>
      <w:tr w:rsidR="007D03A1" w:rsidRPr="006A5445" w14:paraId="1467904A" w14:textId="77777777" w:rsidTr="007D5E46">
        <w:trPr>
          <w:trHeight w:val="584"/>
        </w:trPr>
        <w:tc>
          <w:tcPr>
            <w:tcW w:w="1020" w:type="pct"/>
            <w:vMerge/>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0D82CF1" w14:textId="3F3E2206" w:rsidR="007D03A1" w:rsidRPr="00FD71D4" w:rsidRDefault="007D03A1" w:rsidP="000F155E">
            <w:pPr>
              <w:adjustRightInd w:val="0"/>
              <w:snapToGrid w:val="0"/>
              <w:ind w:firstLineChars="83" w:firstLine="133"/>
              <w:jc w:val="center"/>
              <w:rPr>
                <w:rFonts w:ascii="微软雅黑" w:eastAsia="微软雅黑" w:hAnsi="微软雅黑"/>
                <w:sz w:val="16"/>
                <w:szCs w:val="16"/>
              </w:rPr>
            </w:pP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040E395" w14:textId="6750474D" w:rsidR="007D03A1" w:rsidRPr="00FD71D4" w:rsidRDefault="007D03A1" w:rsidP="000F155E">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陕西省应急管理厅对</w:t>
            </w:r>
            <w:r w:rsidRPr="007D03A1">
              <w:rPr>
                <w:rFonts w:ascii="微软雅黑" w:eastAsia="微软雅黑" w:hAnsi="微软雅黑"/>
                <w:sz w:val="16"/>
                <w:szCs w:val="16"/>
              </w:rPr>
              <w:t>30家防疫物资生产企业“一对一”安全指导</w:t>
            </w:r>
          </w:p>
        </w:tc>
      </w:tr>
      <w:tr w:rsidR="004D3853" w:rsidRPr="006A5445" w14:paraId="745DEF7A" w14:textId="77777777" w:rsidTr="007D5E46">
        <w:trPr>
          <w:trHeight w:val="584"/>
        </w:trPr>
        <w:tc>
          <w:tcPr>
            <w:tcW w:w="1020" w:type="pct"/>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ACEE0ED" w14:textId="1105AB50" w:rsidR="004D3853" w:rsidRPr="00FD71D4" w:rsidRDefault="004D3853" w:rsidP="000F155E">
            <w:pPr>
              <w:adjustRightInd w:val="0"/>
              <w:snapToGrid w:val="0"/>
              <w:ind w:firstLineChars="83" w:firstLine="133"/>
              <w:jc w:val="center"/>
              <w:rPr>
                <w:rFonts w:ascii="微软雅黑" w:eastAsia="微软雅黑" w:hAnsi="微软雅黑"/>
                <w:sz w:val="16"/>
                <w:szCs w:val="16"/>
              </w:rPr>
            </w:pPr>
            <w:r>
              <w:rPr>
                <w:rFonts w:ascii="微软雅黑" w:eastAsia="微软雅黑" w:hAnsi="微软雅黑" w:hint="eastAsia"/>
                <w:sz w:val="16"/>
                <w:szCs w:val="16"/>
              </w:rPr>
              <w:t>02/17</w:t>
            </w: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D97D1F1" w14:textId="233CA5D4" w:rsidR="004D3853" w:rsidRPr="007D03A1" w:rsidRDefault="004D3853" w:rsidP="000F155E">
            <w:pPr>
              <w:adjustRightInd w:val="0"/>
              <w:snapToGrid w:val="0"/>
              <w:jc w:val="center"/>
              <w:rPr>
                <w:rFonts w:ascii="微软雅黑" w:eastAsia="微软雅黑" w:hAnsi="微软雅黑"/>
                <w:sz w:val="16"/>
                <w:szCs w:val="16"/>
              </w:rPr>
            </w:pPr>
            <w:r w:rsidRPr="004D3853">
              <w:rPr>
                <w:rFonts w:ascii="微软雅黑" w:eastAsia="微软雅黑" w:hAnsi="微软雅黑" w:hint="eastAsia"/>
                <w:sz w:val="16"/>
                <w:szCs w:val="16"/>
              </w:rPr>
              <w:t>陕西省应对新冠肺炎疫情支持中小微企业稳定健康发展的若干措施</w:t>
            </w:r>
          </w:p>
        </w:tc>
      </w:tr>
      <w:tr w:rsidR="007D03A1" w:rsidRPr="006A5445" w14:paraId="31E99353" w14:textId="77777777" w:rsidTr="007D5E46">
        <w:trPr>
          <w:trHeight w:val="584"/>
        </w:trPr>
        <w:tc>
          <w:tcPr>
            <w:tcW w:w="102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91E01C4" w14:textId="298F9985" w:rsidR="007D03A1" w:rsidRPr="00FD71D4" w:rsidRDefault="007D03A1" w:rsidP="000F155E">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23</w:t>
            </w: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F36BC7B" w14:textId="20FF71C9" w:rsidR="007D03A1" w:rsidRPr="00FD71D4" w:rsidRDefault="007D03A1" w:rsidP="000F155E">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陕西银行业对</w:t>
            </w:r>
            <w:r w:rsidRPr="007D03A1">
              <w:rPr>
                <w:rFonts w:ascii="微软雅黑" w:eastAsia="微软雅黑" w:hAnsi="微软雅黑"/>
                <w:sz w:val="16"/>
                <w:szCs w:val="16"/>
              </w:rPr>
              <w:t>751.97亿元到期贷款进行延期操作</w:t>
            </w:r>
          </w:p>
        </w:tc>
      </w:tr>
      <w:tr w:rsidR="004D3853" w:rsidRPr="006A5445" w14:paraId="547B0432" w14:textId="77777777" w:rsidTr="007D5E46">
        <w:trPr>
          <w:trHeight w:val="584"/>
        </w:trPr>
        <w:tc>
          <w:tcPr>
            <w:tcW w:w="1020" w:type="pct"/>
            <w:vMerge w:val="restart"/>
            <w:tcBorders>
              <w:top w:val="single" w:sz="8"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27479D7" w14:textId="4B9793F3" w:rsidR="004D3853" w:rsidRPr="00FD71D4" w:rsidRDefault="004D3853" w:rsidP="004D385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24</w:t>
            </w: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972CEF9" w14:textId="44824143" w:rsidR="004D3853" w:rsidRPr="00FD71D4" w:rsidRDefault="004D3853" w:rsidP="000F155E">
            <w:pPr>
              <w:adjustRightInd w:val="0"/>
              <w:snapToGrid w:val="0"/>
              <w:jc w:val="center"/>
              <w:rPr>
                <w:rFonts w:ascii="微软雅黑" w:eastAsia="微软雅黑" w:hAnsi="微软雅黑"/>
                <w:sz w:val="16"/>
                <w:szCs w:val="16"/>
              </w:rPr>
            </w:pPr>
            <w:r w:rsidRPr="007D03A1">
              <w:rPr>
                <w:rFonts w:ascii="微软雅黑" w:eastAsia="微软雅黑" w:hAnsi="微软雅黑" w:hint="eastAsia"/>
                <w:sz w:val="16"/>
                <w:szCs w:val="16"/>
              </w:rPr>
              <w:t>陕西省积极应对新冠肺炎疫情影响决战决胜脱贫攻坚八条措施</w:t>
            </w:r>
          </w:p>
        </w:tc>
      </w:tr>
      <w:tr w:rsidR="004D3853" w:rsidRPr="006A5445" w14:paraId="328E0E2F" w14:textId="77777777" w:rsidTr="007D5E46">
        <w:trPr>
          <w:trHeight w:val="584"/>
        </w:trPr>
        <w:tc>
          <w:tcPr>
            <w:tcW w:w="1020" w:type="pct"/>
            <w:vMerge/>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813DF29" w14:textId="294EE1FA" w:rsidR="004D3853" w:rsidRPr="00FD71D4" w:rsidRDefault="004D3853" w:rsidP="000F155E">
            <w:pPr>
              <w:adjustRightInd w:val="0"/>
              <w:snapToGrid w:val="0"/>
              <w:ind w:firstLineChars="83" w:firstLine="133"/>
              <w:jc w:val="center"/>
              <w:rPr>
                <w:rFonts w:ascii="微软雅黑" w:eastAsia="微软雅黑" w:hAnsi="微软雅黑"/>
                <w:sz w:val="16"/>
                <w:szCs w:val="16"/>
              </w:rPr>
            </w:pP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D64E410" w14:textId="4A4FACEB" w:rsidR="004D3853" w:rsidRPr="00FD71D4" w:rsidRDefault="004D3853" w:rsidP="000F155E">
            <w:pPr>
              <w:adjustRightInd w:val="0"/>
              <w:snapToGrid w:val="0"/>
              <w:jc w:val="center"/>
              <w:rPr>
                <w:rFonts w:ascii="微软雅黑" w:eastAsia="微软雅黑" w:hAnsi="微软雅黑"/>
                <w:sz w:val="16"/>
                <w:szCs w:val="16"/>
              </w:rPr>
            </w:pPr>
            <w:r>
              <w:rPr>
                <w:rFonts w:ascii="微软雅黑" w:eastAsia="微软雅黑" w:hAnsi="微软雅黑" w:hint="eastAsia"/>
                <w:sz w:val="16"/>
                <w:szCs w:val="16"/>
              </w:rPr>
              <w:t>陕西省相关政策性银行52.3医院应急专项贷款发放到位</w:t>
            </w:r>
          </w:p>
        </w:tc>
      </w:tr>
      <w:tr w:rsidR="004D3853" w:rsidRPr="006A5445" w14:paraId="1CBD211A" w14:textId="77777777" w:rsidTr="007D5E46">
        <w:trPr>
          <w:trHeight w:val="584"/>
        </w:trPr>
        <w:tc>
          <w:tcPr>
            <w:tcW w:w="1020" w:type="pct"/>
            <w:vMerge w:val="restart"/>
            <w:tcBorders>
              <w:top w:val="single" w:sz="8"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66913F9" w14:textId="609B082A" w:rsidR="004D3853" w:rsidRPr="00FD71D4" w:rsidRDefault="004D3853" w:rsidP="000F155E">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w:t>
            </w:r>
            <w:r>
              <w:rPr>
                <w:rFonts w:ascii="微软雅黑" w:eastAsia="微软雅黑" w:hAnsi="微软雅黑" w:hint="eastAsia"/>
                <w:sz w:val="16"/>
                <w:szCs w:val="16"/>
              </w:rPr>
              <w:t>3</w:t>
            </w:r>
            <w:r w:rsidRPr="00FD71D4">
              <w:rPr>
                <w:rFonts w:ascii="微软雅黑" w:eastAsia="微软雅黑" w:hAnsi="微软雅黑" w:hint="eastAsia"/>
                <w:sz w:val="16"/>
                <w:szCs w:val="16"/>
              </w:rPr>
              <w:t>/05</w:t>
            </w: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830370F" w14:textId="6DDB3DB2" w:rsidR="004D3853" w:rsidRPr="00FD71D4" w:rsidRDefault="004D3853" w:rsidP="000F155E">
            <w:pPr>
              <w:adjustRightInd w:val="0"/>
              <w:snapToGrid w:val="0"/>
              <w:jc w:val="center"/>
              <w:rPr>
                <w:rFonts w:ascii="微软雅黑" w:eastAsia="微软雅黑" w:hAnsi="微软雅黑"/>
                <w:sz w:val="16"/>
                <w:szCs w:val="16"/>
              </w:rPr>
            </w:pPr>
            <w:r w:rsidRPr="004D3853">
              <w:rPr>
                <w:rFonts w:ascii="微软雅黑" w:eastAsia="微软雅黑" w:hAnsi="微软雅黑" w:hint="eastAsia"/>
                <w:sz w:val="16"/>
                <w:szCs w:val="16"/>
              </w:rPr>
              <w:t>陕西省旅游业恢复发展预案</w:t>
            </w:r>
          </w:p>
        </w:tc>
      </w:tr>
      <w:tr w:rsidR="004D3853" w:rsidRPr="006A5445" w14:paraId="358B8136" w14:textId="77777777" w:rsidTr="007D5E46">
        <w:trPr>
          <w:trHeight w:val="584"/>
        </w:trPr>
        <w:tc>
          <w:tcPr>
            <w:tcW w:w="1020" w:type="pct"/>
            <w:vMerge/>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C82D848" w14:textId="11139E75" w:rsidR="004D3853" w:rsidRPr="00FD71D4" w:rsidRDefault="004D3853" w:rsidP="000F155E">
            <w:pPr>
              <w:adjustRightInd w:val="0"/>
              <w:snapToGrid w:val="0"/>
              <w:ind w:firstLineChars="83" w:firstLine="133"/>
              <w:jc w:val="center"/>
              <w:rPr>
                <w:rFonts w:ascii="微软雅黑" w:eastAsia="微软雅黑" w:hAnsi="微软雅黑"/>
                <w:sz w:val="16"/>
                <w:szCs w:val="16"/>
              </w:rPr>
            </w:pPr>
          </w:p>
        </w:tc>
        <w:tc>
          <w:tcPr>
            <w:tcW w:w="398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2B003B9" w14:textId="6502B5FA" w:rsidR="004D3853" w:rsidRPr="00FD71D4" w:rsidRDefault="004D3853" w:rsidP="000F155E">
            <w:pPr>
              <w:adjustRightInd w:val="0"/>
              <w:snapToGrid w:val="0"/>
              <w:jc w:val="center"/>
              <w:rPr>
                <w:rFonts w:ascii="微软雅黑" w:eastAsia="微软雅黑" w:hAnsi="微软雅黑"/>
                <w:sz w:val="16"/>
                <w:szCs w:val="16"/>
              </w:rPr>
            </w:pPr>
            <w:r w:rsidRPr="004D3853">
              <w:rPr>
                <w:rFonts w:ascii="微软雅黑" w:eastAsia="微软雅黑" w:hAnsi="微软雅黑" w:hint="eastAsia"/>
                <w:sz w:val="16"/>
                <w:szCs w:val="16"/>
              </w:rPr>
              <w:t>陕西阶段性减免企业社会保险费</w:t>
            </w:r>
          </w:p>
        </w:tc>
      </w:tr>
    </w:tbl>
    <w:p w14:paraId="4AB5FCAE" w14:textId="77777777" w:rsidR="00D463AC" w:rsidRDefault="00D463AC" w:rsidP="00D463AC">
      <w:pPr>
        <w:spacing w:after="156"/>
        <w:ind w:firstLine="480"/>
      </w:pPr>
    </w:p>
    <w:p w14:paraId="42AB6C03" w14:textId="77777777" w:rsidR="00D463AC" w:rsidRDefault="00D463AC" w:rsidP="00D463AC">
      <w:pPr>
        <w:spacing w:after="156"/>
        <w:outlineLvl w:val="0"/>
        <w:rPr>
          <w:rFonts w:ascii="微软雅黑" w:eastAsia="微软雅黑" w:hAnsi="微软雅黑"/>
          <w:b/>
          <w:bCs/>
          <w:color w:val="0070C0"/>
          <w:sz w:val="28"/>
          <w:szCs w:val="28"/>
        </w:rPr>
        <w:sectPr w:rsidR="00D463AC">
          <w:pgSz w:w="11906" w:h="16838"/>
          <w:pgMar w:top="1440" w:right="1800" w:bottom="1440" w:left="1800" w:header="851" w:footer="992" w:gutter="0"/>
          <w:cols w:space="425"/>
          <w:docGrid w:type="lines" w:linePitch="312"/>
        </w:sectPr>
      </w:pPr>
    </w:p>
    <w:p w14:paraId="455B8FE6" w14:textId="77777777" w:rsidR="00D463AC" w:rsidRDefault="00D463AC" w:rsidP="00D463AC">
      <w:pPr>
        <w:spacing w:after="156"/>
        <w:outlineLvl w:val="0"/>
        <w:rPr>
          <w:rFonts w:ascii="微软雅黑" w:eastAsia="微软雅黑" w:hAnsi="微软雅黑"/>
          <w:b/>
          <w:bCs/>
          <w:color w:val="0070C0"/>
          <w:sz w:val="28"/>
          <w:szCs w:val="28"/>
        </w:rPr>
      </w:pPr>
      <w:bookmarkStart w:id="1" w:name="_GoBack"/>
      <w:bookmarkEnd w:id="1"/>
      <w:r w:rsidRPr="001A10CF">
        <w:rPr>
          <w:rFonts w:ascii="微软雅黑" w:eastAsia="微软雅黑" w:hAnsi="微软雅黑" w:hint="eastAsia"/>
          <w:b/>
          <w:bCs/>
          <w:color w:val="0070C0"/>
          <w:sz w:val="28"/>
          <w:szCs w:val="28"/>
        </w:rPr>
        <w:lastRenderedPageBreak/>
        <w:t>【行业政策】</w:t>
      </w:r>
    </w:p>
    <w:p w14:paraId="64AC381B" w14:textId="77777777" w:rsidR="00D463AC" w:rsidRDefault="00D463AC" w:rsidP="00A773A5">
      <w:pPr>
        <w:spacing w:after="120" w:line="300" w:lineRule="auto"/>
        <w:ind w:firstLineChars="200" w:firstLine="480"/>
        <w:jc w:val="both"/>
      </w:pPr>
      <w:r w:rsidRPr="002C374A">
        <w:rPr>
          <w:rFonts w:hint="eastAsia"/>
        </w:rPr>
        <w:t>当前行业发展的主管部门也在陆续发布相关政策以应对疫情影响，各地建委也陆续发布文件明确防疫期间的关于文件审批</w:t>
      </w:r>
      <w:r>
        <w:rPr>
          <w:rFonts w:hint="eastAsia"/>
        </w:rPr>
        <w:t>以及</w:t>
      </w:r>
      <w:r w:rsidRPr="002C374A">
        <w:rPr>
          <w:rFonts w:hint="eastAsia"/>
        </w:rPr>
        <w:t>招投标</w:t>
      </w:r>
      <w:r>
        <w:rPr>
          <w:rFonts w:hint="eastAsia"/>
        </w:rPr>
        <w:t>的</w:t>
      </w:r>
      <w:r w:rsidRPr="002C374A">
        <w:rPr>
          <w:rFonts w:hint="eastAsia"/>
        </w:rPr>
        <w:t>相关应对策略。</w:t>
      </w:r>
    </w:p>
    <w:p w14:paraId="3DF13D93" w14:textId="61204EF3" w:rsidR="00D463AC" w:rsidRDefault="00D463AC" w:rsidP="00D463AC">
      <w:pPr>
        <w:pStyle w:val="a5"/>
        <w:jc w:val="center"/>
      </w:pPr>
      <w:r>
        <w:t>表</w:t>
      </w:r>
      <w:r>
        <w:t xml:space="preserve"> </w:t>
      </w:r>
      <w:r>
        <w:fldChar w:fldCharType="begin"/>
      </w:r>
      <w:r>
        <w:instrText xml:space="preserve"> SEQ </w:instrText>
      </w:r>
      <w:r>
        <w:instrText>表</w:instrText>
      </w:r>
      <w:r>
        <w:instrText xml:space="preserve"> \* ARABIC </w:instrText>
      </w:r>
      <w:r>
        <w:fldChar w:fldCharType="separate"/>
      </w:r>
      <w:r w:rsidR="0059343E">
        <w:rPr>
          <w:noProof/>
        </w:rPr>
        <w:t>3</w:t>
      </w:r>
      <w:r>
        <w:fldChar w:fldCharType="end"/>
      </w:r>
      <w:r>
        <w:rPr>
          <w:rFonts w:hint="eastAsia"/>
        </w:rPr>
        <w:t>：</w:t>
      </w:r>
      <w:r w:rsidR="009231FD">
        <w:rPr>
          <w:rFonts w:hint="eastAsia"/>
        </w:rPr>
        <w:t>国家层面</w:t>
      </w:r>
      <w:r>
        <w:rPr>
          <w:rFonts w:hint="eastAsia"/>
        </w:rPr>
        <w:t>各级主管部门关于疫情防控相关政策</w:t>
      </w:r>
    </w:p>
    <w:tbl>
      <w:tblPr>
        <w:tblW w:w="5000" w:type="pct"/>
        <w:tblCellMar>
          <w:left w:w="0" w:type="dxa"/>
          <w:right w:w="0" w:type="dxa"/>
        </w:tblCellMar>
        <w:tblLook w:val="0420" w:firstRow="1" w:lastRow="0" w:firstColumn="0" w:lastColumn="0" w:noHBand="0" w:noVBand="1"/>
      </w:tblPr>
      <w:tblGrid>
        <w:gridCol w:w="983"/>
        <w:gridCol w:w="1367"/>
        <w:gridCol w:w="1806"/>
        <w:gridCol w:w="4130"/>
      </w:tblGrid>
      <w:tr w:rsidR="00D463AC" w:rsidRPr="007E3E8F" w14:paraId="2365ACC8" w14:textId="77777777" w:rsidTr="00556C89">
        <w:trPr>
          <w:trHeight w:val="632"/>
        </w:trPr>
        <w:tc>
          <w:tcPr>
            <w:tcW w:w="593"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6AD3FB1B" w14:textId="77777777" w:rsidR="00D463AC" w:rsidRPr="00D463AC" w:rsidRDefault="00D463AC" w:rsidP="000F155E">
            <w:pPr>
              <w:spacing w:afterLines="50" w:after="156" w:line="360" w:lineRule="exact"/>
              <w:ind w:firstLineChars="82" w:firstLine="148"/>
              <w:jc w:val="center"/>
              <w:rPr>
                <w:rFonts w:ascii="微软雅黑" w:eastAsia="微软雅黑" w:hAnsi="微软雅黑"/>
                <w:color w:val="FFFFFF" w:themeColor="background1"/>
                <w:sz w:val="18"/>
                <w:szCs w:val="18"/>
              </w:rPr>
            </w:pPr>
            <w:r w:rsidRPr="00D463AC">
              <w:rPr>
                <w:rFonts w:ascii="微软雅黑" w:eastAsia="微软雅黑" w:hAnsi="微软雅黑" w:hint="eastAsia"/>
                <w:b/>
                <w:bCs/>
                <w:color w:val="FFFFFF" w:themeColor="background1"/>
                <w:sz w:val="18"/>
                <w:szCs w:val="18"/>
              </w:rPr>
              <w:t>时间</w:t>
            </w:r>
          </w:p>
        </w:tc>
        <w:tc>
          <w:tcPr>
            <w:tcW w:w="825"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61551851" w14:textId="77777777" w:rsidR="00D463AC" w:rsidRPr="00D463AC" w:rsidRDefault="00D463AC" w:rsidP="000F155E">
            <w:pPr>
              <w:spacing w:afterLines="50" w:after="156" w:line="360" w:lineRule="exact"/>
              <w:jc w:val="center"/>
              <w:rPr>
                <w:rFonts w:ascii="微软雅黑" w:eastAsia="微软雅黑" w:hAnsi="微软雅黑"/>
                <w:color w:val="FFFFFF" w:themeColor="background1"/>
                <w:sz w:val="18"/>
                <w:szCs w:val="18"/>
              </w:rPr>
            </w:pPr>
            <w:r w:rsidRPr="00D463AC">
              <w:rPr>
                <w:rFonts w:ascii="微软雅黑" w:eastAsia="微软雅黑" w:hAnsi="微软雅黑" w:hint="eastAsia"/>
                <w:b/>
                <w:bCs/>
                <w:color w:val="FFFFFF" w:themeColor="background1"/>
                <w:sz w:val="18"/>
                <w:szCs w:val="18"/>
              </w:rPr>
              <w:t>部门</w:t>
            </w:r>
          </w:p>
        </w:tc>
        <w:tc>
          <w:tcPr>
            <w:tcW w:w="1090"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1892CFA4" w14:textId="77777777" w:rsidR="00D463AC" w:rsidRPr="00D463AC" w:rsidRDefault="00D463AC" w:rsidP="000F155E">
            <w:pPr>
              <w:spacing w:afterLines="50" w:after="156" w:line="360" w:lineRule="exact"/>
              <w:ind w:firstLineChars="200" w:firstLine="360"/>
              <w:jc w:val="center"/>
              <w:rPr>
                <w:rFonts w:ascii="微软雅黑" w:eastAsia="微软雅黑" w:hAnsi="微软雅黑"/>
                <w:color w:val="FFFFFF" w:themeColor="background1"/>
                <w:sz w:val="18"/>
                <w:szCs w:val="18"/>
              </w:rPr>
            </w:pPr>
            <w:r w:rsidRPr="00D463AC">
              <w:rPr>
                <w:rFonts w:ascii="微软雅黑" w:eastAsia="微软雅黑" w:hAnsi="微软雅黑" w:hint="eastAsia"/>
                <w:b/>
                <w:bCs/>
                <w:color w:val="FFFFFF" w:themeColor="background1"/>
                <w:sz w:val="18"/>
                <w:szCs w:val="18"/>
              </w:rPr>
              <w:t>政策文件</w:t>
            </w:r>
          </w:p>
        </w:tc>
        <w:tc>
          <w:tcPr>
            <w:tcW w:w="2492"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533495DA" w14:textId="77777777" w:rsidR="00D463AC" w:rsidRPr="00D463AC" w:rsidRDefault="00D463AC" w:rsidP="000F155E">
            <w:pPr>
              <w:spacing w:afterLines="50" w:after="156" w:line="360" w:lineRule="exact"/>
              <w:ind w:firstLineChars="200" w:firstLine="360"/>
              <w:jc w:val="center"/>
              <w:rPr>
                <w:rFonts w:ascii="微软雅黑" w:eastAsia="微软雅黑" w:hAnsi="微软雅黑"/>
                <w:color w:val="FFFFFF" w:themeColor="background1"/>
                <w:sz w:val="18"/>
                <w:szCs w:val="18"/>
              </w:rPr>
            </w:pPr>
            <w:r w:rsidRPr="00D463AC">
              <w:rPr>
                <w:rFonts w:ascii="微软雅黑" w:eastAsia="微软雅黑" w:hAnsi="微软雅黑" w:hint="eastAsia"/>
                <w:b/>
                <w:bCs/>
                <w:color w:val="FFFFFF" w:themeColor="background1"/>
                <w:sz w:val="18"/>
                <w:szCs w:val="18"/>
              </w:rPr>
              <w:t>主要要点</w:t>
            </w:r>
          </w:p>
        </w:tc>
      </w:tr>
      <w:tr w:rsidR="00D463AC" w:rsidRPr="007E3E8F" w14:paraId="482CF0CF" w14:textId="77777777" w:rsidTr="00131FF8">
        <w:trPr>
          <w:trHeight w:val="1340"/>
        </w:trPr>
        <w:tc>
          <w:tcPr>
            <w:tcW w:w="593"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EA22D4E"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02/08</w:t>
            </w:r>
          </w:p>
        </w:tc>
        <w:tc>
          <w:tcPr>
            <w:tcW w:w="825"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EB0C919"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发改委</w:t>
            </w:r>
          </w:p>
        </w:tc>
        <w:tc>
          <w:tcPr>
            <w:tcW w:w="1090"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F1FB406"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《关于加强投资项目远程审批服务 保障新型冠状病毒感染肺炎疫情防控期间项目办理工作的通知》</w:t>
            </w:r>
          </w:p>
        </w:tc>
        <w:tc>
          <w:tcPr>
            <w:tcW w:w="2492"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E4A3267"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对实行备案制的投资项目，要严格执行告知性备案制度，一律通过全国投资项目在线审批监管平台（以下简称在线平台）实行网上备案。</w:t>
            </w:r>
          </w:p>
          <w:p w14:paraId="5F7C8CA8"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对实行审批制、核准制的投资项目，相关省级发展改革委要完善、畅通在线平台互联网端项目申报、进度查询功能，指导项目单位上传电子材料、实行远程审批。</w:t>
            </w:r>
          </w:p>
        </w:tc>
      </w:tr>
      <w:tr w:rsidR="00D463AC" w:rsidRPr="007E3E8F" w14:paraId="00AAC7F2" w14:textId="77777777" w:rsidTr="00131FF8">
        <w:trPr>
          <w:trHeight w:val="1141"/>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F1EFEA0"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02/08</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31B40A0"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国家卫建委、住建部</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78B27BF"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《新型冠状病毒肺炎应急救治设施设计导则（试行）》</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0809A43"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适用于集中收治新型冠状病毒肺炎患者的医疗机构或临时建筑的改建、扩建和新建工程项目，明确了相关工程项目的建设原则、选址、建筑设计、结构、给水排水、采暖通风及空调、电气及智能化、医用气体和运行维护等多方面要求，提出了负压病房改造参考方案，并收集汇总了医疗类建筑相关主要建设标准目录。</w:t>
            </w:r>
          </w:p>
        </w:tc>
      </w:tr>
      <w:tr w:rsidR="00D463AC" w:rsidRPr="007E3E8F" w14:paraId="15636BA7" w14:textId="77777777" w:rsidTr="00131FF8">
        <w:trPr>
          <w:trHeight w:val="1141"/>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2C54CF5"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02/08</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62615C4"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交通运输部</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E1DDF7A"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关于贯彻落实习近平总书记重要指示精神统筹做好疫情防控加快公路水运工程复工开工建设加大交通投资力度的通知</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B131042"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优先保障重点项目、控制性工程，优先保障当年完工项目，优先保障交通扶贫脱贫攻坚项目。</w:t>
            </w:r>
          </w:p>
        </w:tc>
      </w:tr>
      <w:tr w:rsidR="00D463AC" w:rsidRPr="007E3E8F" w14:paraId="45928E28" w14:textId="77777777" w:rsidTr="00131FF8">
        <w:trPr>
          <w:trHeight w:val="1174"/>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2259793"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02/10</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73494D5"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工信部</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73E6C38"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关于应对新型冠状病毒肺炎疫情帮助中小企业复工复产共渡难关有关工作的通知</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0CA8D11"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全力保障企业有序复工复产；进一步加强对中小企业的财政扶持、金融扶持、创新支持和公共服务；进一步加强统筹协调，减少中小企业损失</w:t>
            </w:r>
          </w:p>
        </w:tc>
      </w:tr>
      <w:tr w:rsidR="00D463AC" w:rsidRPr="007E3E8F" w14:paraId="69B75942" w14:textId="77777777" w:rsidTr="00131FF8">
        <w:trPr>
          <w:trHeight w:val="1174"/>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2646B3A"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02/26</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172499F"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住房和城乡建设部办公厅</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87EF90F"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关于加强新冠肺炎疫情防控有序推动企业开复工工作的通知</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A2572F0"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加强房屋建筑和市政基础设施工程领域疫情防控，分区分级推动企业和项目开复工；加大扶持力度，加强合同履约变更管理，加快清理政府部门和国有企业拖欠民营企业账款，切实减轻企业资金负担；加快推进产业转型，大力推进企业数字化转型，积极推动电子政务建设，推动资质审批告知承诺制改革等。</w:t>
            </w:r>
          </w:p>
        </w:tc>
      </w:tr>
      <w:tr w:rsidR="00D463AC" w:rsidRPr="007E3E8F" w14:paraId="006E9C89" w14:textId="77777777" w:rsidTr="00131FF8">
        <w:trPr>
          <w:trHeight w:val="1174"/>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9E82912"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0</w:t>
            </w:r>
            <w:r w:rsidRPr="00D463AC">
              <w:rPr>
                <w:rFonts w:ascii="微软雅黑" w:eastAsia="微软雅黑" w:hAnsi="微软雅黑"/>
                <w:sz w:val="16"/>
                <w:szCs w:val="16"/>
              </w:rPr>
              <w:t>3/05</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A7C6731"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住房和城乡建设部办公厅</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18F7980"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关于加强新冠肺炎疫情防控期间房屋市政工程开复工质量安全工作的通知</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6834EDE7"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坚决防止盲目抢工期,各地要督促建设单位切实保障工程项目合理工期安排，严禁盲目抢工期、赶进度等行为;</w:t>
            </w:r>
          </w:p>
          <w:p w14:paraId="51979EEB"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网上办理开复工审核,对企业申报新建、改扩建施工许可和复工安全条件审核的项目，优化报批审核流程，实施网上快速办理，落实不见面审批服务，待疫情防控结束后再进行现场核验;</w:t>
            </w:r>
          </w:p>
          <w:p w14:paraId="40B87BB5"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实行到期证件自动顺延,在疫情防控期间，企业安全生产许可证和企业主要负责人、项目负责人、安全生产管理</w:t>
            </w:r>
            <w:r w:rsidRPr="00D463AC">
              <w:rPr>
                <w:rFonts w:ascii="微软雅黑" w:eastAsia="微软雅黑" w:hAnsi="微软雅黑" w:hint="eastAsia"/>
                <w:sz w:val="16"/>
                <w:szCs w:val="16"/>
              </w:rPr>
              <w:lastRenderedPageBreak/>
              <w:t>人员及特种作业人员安全证书到期的，有效期自动顺延至疫情防控结束。</w:t>
            </w:r>
          </w:p>
        </w:tc>
      </w:tr>
      <w:tr w:rsidR="00D463AC" w:rsidRPr="007E3E8F" w14:paraId="4DD783F0" w14:textId="77777777" w:rsidTr="00131FF8">
        <w:trPr>
          <w:trHeight w:val="1174"/>
        </w:trPr>
        <w:tc>
          <w:tcPr>
            <w:tcW w:w="593"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2E77D5B7"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lastRenderedPageBreak/>
              <w:t>0</w:t>
            </w:r>
            <w:r w:rsidRPr="00D463AC">
              <w:rPr>
                <w:rFonts w:ascii="微软雅黑" w:eastAsia="微软雅黑" w:hAnsi="微软雅黑"/>
                <w:sz w:val="16"/>
                <w:szCs w:val="16"/>
              </w:rPr>
              <w:t>3/06</w:t>
            </w:r>
          </w:p>
        </w:tc>
        <w:tc>
          <w:tcPr>
            <w:tcW w:w="825"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64E8BD2"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住房和城乡建设部建筑市场监管司</w:t>
            </w:r>
          </w:p>
        </w:tc>
        <w:tc>
          <w:tcPr>
            <w:tcW w:w="1090"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E56E16D" w14:textId="77777777" w:rsidR="00D463AC" w:rsidRPr="00D463AC" w:rsidRDefault="00D463AC" w:rsidP="00131FF8">
            <w:pPr>
              <w:adjustRightInd w:val="0"/>
              <w:snapToGrid w:val="0"/>
              <w:jc w:val="center"/>
              <w:rPr>
                <w:rFonts w:ascii="微软雅黑" w:eastAsia="微软雅黑" w:hAnsi="微软雅黑"/>
                <w:sz w:val="16"/>
                <w:szCs w:val="16"/>
              </w:rPr>
            </w:pPr>
            <w:r w:rsidRPr="00D463AC">
              <w:rPr>
                <w:rFonts w:ascii="微软雅黑" w:eastAsia="微软雅黑" w:hAnsi="微软雅黑" w:hint="eastAsia"/>
                <w:sz w:val="16"/>
                <w:szCs w:val="16"/>
              </w:rPr>
              <w:t>住房和城乡建设部建筑市场监管司关于建设工程企业资质有效期延期的通知</w:t>
            </w:r>
          </w:p>
        </w:tc>
        <w:tc>
          <w:tcPr>
            <w:tcW w:w="24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7612E491" w14:textId="77777777" w:rsidR="00D463AC" w:rsidRPr="00D463AC" w:rsidRDefault="00D463AC" w:rsidP="00131FF8">
            <w:pPr>
              <w:adjustRightInd w:val="0"/>
              <w:snapToGrid w:val="0"/>
              <w:jc w:val="both"/>
              <w:rPr>
                <w:rFonts w:ascii="微软雅黑" w:eastAsia="微软雅黑" w:hAnsi="微软雅黑"/>
                <w:sz w:val="16"/>
                <w:szCs w:val="16"/>
              </w:rPr>
            </w:pPr>
            <w:r w:rsidRPr="00D463AC">
              <w:rPr>
                <w:rFonts w:ascii="微软雅黑" w:eastAsia="微软雅黑" w:hAnsi="微软雅黑" w:hint="eastAsia"/>
                <w:sz w:val="16"/>
                <w:szCs w:val="16"/>
              </w:rPr>
              <w:t>住房和城乡建设部核发的工程勘察、工程设计、建筑业企业、工程监理企业资质，有效期于</w:t>
            </w:r>
            <w:r w:rsidRPr="00D463AC">
              <w:rPr>
                <w:rFonts w:ascii="微软雅黑" w:eastAsia="微软雅黑" w:hAnsi="微软雅黑"/>
                <w:sz w:val="16"/>
                <w:szCs w:val="16"/>
              </w:rPr>
              <w:t>2020年3月1日至6月30日期满的，统一延期至2020年7月31日。相关建设工程企业资质有效期将在全国建筑市场监管公共服务平台自动延期，资质证书无需换发，在此期间仍可用于工程招标投标等活动</w:t>
            </w:r>
            <w:r w:rsidRPr="00D463AC">
              <w:rPr>
                <w:rFonts w:ascii="微软雅黑" w:eastAsia="微软雅黑" w:hAnsi="微软雅黑" w:hint="eastAsia"/>
                <w:sz w:val="16"/>
                <w:szCs w:val="16"/>
              </w:rPr>
              <w:t>。</w:t>
            </w:r>
          </w:p>
        </w:tc>
      </w:tr>
    </w:tbl>
    <w:p w14:paraId="5FED725D" w14:textId="765E8569" w:rsidR="00D463AC" w:rsidRDefault="00D463AC" w:rsidP="00D463AC">
      <w:pPr>
        <w:spacing w:after="156"/>
      </w:pPr>
    </w:p>
    <w:p w14:paraId="2330F9A5" w14:textId="15076955" w:rsidR="0059343E" w:rsidRDefault="0059343E" w:rsidP="0059343E">
      <w:pPr>
        <w:pStyle w:val="a5"/>
        <w:jc w:val="center"/>
      </w:pPr>
      <w:r>
        <w:t>表</w:t>
      </w:r>
      <w:r>
        <w:t xml:space="preserve"> </w:t>
      </w:r>
      <w:r>
        <w:fldChar w:fldCharType="begin"/>
      </w:r>
      <w:r>
        <w:instrText xml:space="preserve"> SEQ </w:instrText>
      </w:r>
      <w:r>
        <w:instrText>表</w:instrText>
      </w:r>
      <w:r>
        <w:instrText xml:space="preserve"> \* ARABIC </w:instrText>
      </w:r>
      <w:r>
        <w:fldChar w:fldCharType="separate"/>
      </w:r>
      <w:r>
        <w:t>4</w:t>
      </w:r>
      <w:r>
        <w:fldChar w:fldCharType="end"/>
      </w:r>
      <w:r>
        <w:t xml:space="preserve"> </w:t>
      </w:r>
      <w:r>
        <w:rPr>
          <w:rFonts w:hint="eastAsia"/>
        </w:rPr>
        <w:t>陕西省</w:t>
      </w:r>
      <w:r w:rsidR="00131FF8">
        <w:rPr>
          <w:rFonts w:hint="eastAsia"/>
        </w:rPr>
        <w:t>行业</w:t>
      </w:r>
      <w:r>
        <w:rPr>
          <w:rFonts w:hint="eastAsia"/>
        </w:rPr>
        <w:t>各级主管部门关于疫情防控相关政策</w:t>
      </w:r>
    </w:p>
    <w:tbl>
      <w:tblPr>
        <w:tblW w:w="5000" w:type="pct"/>
        <w:tblCellMar>
          <w:left w:w="0" w:type="dxa"/>
          <w:right w:w="0" w:type="dxa"/>
        </w:tblCellMar>
        <w:tblLook w:val="0420" w:firstRow="1" w:lastRow="0" w:firstColumn="0" w:lastColumn="0" w:noHBand="0" w:noVBand="1"/>
      </w:tblPr>
      <w:tblGrid>
        <w:gridCol w:w="1173"/>
        <w:gridCol w:w="7113"/>
      </w:tblGrid>
      <w:tr w:rsidR="0059343E" w:rsidRPr="00FD71D4" w14:paraId="383ABEDC" w14:textId="77777777" w:rsidTr="0059343E">
        <w:trPr>
          <w:trHeight w:val="584"/>
        </w:trPr>
        <w:tc>
          <w:tcPr>
            <w:tcW w:w="708"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736B9133" w14:textId="77777777" w:rsidR="0059343E" w:rsidRPr="00FD71D4" w:rsidRDefault="0059343E" w:rsidP="00FC0C23">
            <w:pPr>
              <w:jc w:val="center"/>
              <w:rPr>
                <w:rFonts w:ascii="微软雅黑" w:eastAsia="微软雅黑" w:hAnsi="微软雅黑"/>
                <w:b/>
                <w:bCs/>
                <w:color w:val="FFFFFF" w:themeColor="background1"/>
                <w:sz w:val="16"/>
                <w:szCs w:val="16"/>
              </w:rPr>
            </w:pPr>
            <w:r w:rsidRPr="00FD71D4">
              <w:rPr>
                <w:rFonts w:ascii="微软雅黑" w:eastAsia="微软雅黑" w:hAnsi="微软雅黑" w:hint="eastAsia"/>
                <w:b/>
                <w:bCs/>
                <w:color w:val="FFFFFF" w:themeColor="background1"/>
                <w:sz w:val="16"/>
                <w:szCs w:val="16"/>
              </w:rPr>
              <w:t>时间</w:t>
            </w:r>
          </w:p>
        </w:tc>
        <w:tc>
          <w:tcPr>
            <w:tcW w:w="4292" w:type="pct"/>
            <w:tcBorders>
              <w:top w:val="single" w:sz="8" w:space="0" w:color="FFFFFF"/>
              <w:left w:val="single" w:sz="8" w:space="0" w:color="FFFFFF"/>
              <w:bottom w:val="single" w:sz="24" w:space="0" w:color="FFFFFF"/>
              <w:right w:val="single" w:sz="8" w:space="0" w:color="FFFFFF"/>
            </w:tcBorders>
            <w:shd w:val="clear" w:color="auto" w:fill="407434"/>
            <w:tcMar>
              <w:top w:w="72" w:type="dxa"/>
              <w:left w:w="144" w:type="dxa"/>
              <w:bottom w:w="72" w:type="dxa"/>
              <w:right w:w="144" w:type="dxa"/>
            </w:tcMar>
            <w:vAlign w:val="center"/>
            <w:hideMark/>
          </w:tcPr>
          <w:p w14:paraId="00AE4286" w14:textId="77777777" w:rsidR="0059343E" w:rsidRPr="00FD71D4" w:rsidRDefault="0059343E" w:rsidP="00FC0C23">
            <w:pPr>
              <w:jc w:val="center"/>
              <w:rPr>
                <w:rFonts w:ascii="微软雅黑" w:eastAsia="微软雅黑" w:hAnsi="微软雅黑"/>
                <w:b/>
                <w:bCs/>
                <w:color w:val="FFFFFF" w:themeColor="background1"/>
                <w:sz w:val="16"/>
                <w:szCs w:val="16"/>
              </w:rPr>
            </w:pPr>
            <w:r w:rsidRPr="00FD71D4">
              <w:rPr>
                <w:rFonts w:ascii="微软雅黑" w:eastAsia="微软雅黑" w:hAnsi="微软雅黑" w:hint="eastAsia"/>
                <w:b/>
                <w:bCs/>
                <w:color w:val="FFFFFF" w:themeColor="background1"/>
                <w:sz w:val="16"/>
                <w:szCs w:val="16"/>
              </w:rPr>
              <w:t>相关政策</w:t>
            </w:r>
          </w:p>
        </w:tc>
      </w:tr>
      <w:tr w:rsidR="0059343E" w:rsidRPr="00FD71D4" w14:paraId="09DB2E65" w14:textId="77777777" w:rsidTr="00131FF8">
        <w:trPr>
          <w:trHeight w:val="584"/>
        </w:trPr>
        <w:tc>
          <w:tcPr>
            <w:tcW w:w="708"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D0C5E8F" w14:textId="7AFAFDF8" w:rsidR="0059343E" w:rsidRPr="00FD71D4" w:rsidRDefault="0059343E" w:rsidP="00FC0C23">
            <w:pPr>
              <w:adjustRightInd w:val="0"/>
              <w:snapToGrid w:val="0"/>
              <w:ind w:firstLineChars="83" w:firstLine="133"/>
              <w:jc w:val="center"/>
              <w:rPr>
                <w:rFonts w:ascii="微软雅黑" w:eastAsia="微软雅黑" w:hAnsi="微软雅黑"/>
                <w:sz w:val="16"/>
                <w:szCs w:val="16"/>
              </w:rPr>
            </w:pPr>
            <w:r>
              <w:rPr>
                <w:rFonts w:ascii="微软雅黑" w:eastAsia="微软雅黑" w:hAnsi="微软雅黑" w:hint="eastAsia"/>
                <w:sz w:val="16"/>
                <w:szCs w:val="16"/>
              </w:rPr>
              <w:t>01/30</w:t>
            </w:r>
          </w:p>
        </w:tc>
        <w:tc>
          <w:tcPr>
            <w:tcW w:w="4292" w:type="pc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E9449AD" w14:textId="2B28E85E"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59343E">
              <w:rPr>
                <w:rFonts w:ascii="微软雅黑" w:eastAsia="微软雅黑" w:hAnsi="微软雅黑" w:hint="eastAsia"/>
                <w:sz w:val="16"/>
                <w:szCs w:val="16"/>
              </w:rPr>
              <w:t>关于印发新型冠状病毒感染肺炎疫情防控工作指引的通知</w:t>
            </w:r>
            <w:r w:rsidRPr="0059343E">
              <w:rPr>
                <w:rFonts w:ascii="微软雅黑" w:eastAsia="微软雅黑" w:hAnsi="微软雅黑"/>
                <w:sz w:val="16"/>
                <w:szCs w:val="16"/>
              </w:rPr>
              <w:t xml:space="preserve"> 陕建发〔2020〕20号</w:t>
            </w:r>
          </w:p>
        </w:tc>
      </w:tr>
      <w:tr w:rsidR="0059343E" w:rsidRPr="00FD71D4" w14:paraId="1627F830"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4A82ECF" w14:textId="77777777"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02/02</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318B6C1" w14:textId="2580D5DE"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关于进一步加强党的领导坚决打赢疫情防控阻击战的通知</w:t>
            </w:r>
            <w:r w:rsidRPr="0059343E">
              <w:rPr>
                <w:rFonts w:ascii="微软雅黑" w:eastAsia="微软雅黑" w:hAnsi="微软雅黑"/>
                <w:sz w:val="16"/>
                <w:szCs w:val="16"/>
              </w:rPr>
              <w:t xml:space="preserve">  陕建党发〔2020〕1号</w:t>
            </w:r>
          </w:p>
        </w:tc>
      </w:tr>
      <w:tr w:rsidR="0059343E" w:rsidRPr="00FD71D4" w14:paraId="1D0C0ABC"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53C439CD" w14:textId="5DD044A8"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w:t>
            </w:r>
            <w:r>
              <w:rPr>
                <w:rFonts w:ascii="微软雅黑" w:eastAsia="微软雅黑" w:hAnsi="微软雅黑" w:hint="eastAsia"/>
                <w:sz w:val="16"/>
                <w:szCs w:val="16"/>
              </w:rPr>
              <w:t>4</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9EA5001" w14:textId="19E6C849"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关于新型冠状病毒感染的肺炎疫情防控期间行政复议有关工作安排的通告</w:t>
            </w:r>
          </w:p>
        </w:tc>
      </w:tr>
      <w:tr w:rsidR="0059343E" w:rsidRPr="00FD71D4" w14:paraId="4E550B37"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4FB77AF" w14:textId="459E5789"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w:t>
            </w:r>
            <w:r>
              <w:rPr>
                <w:rFonts w:ascii="微软雅黑" w:eastAsia="微软雅黑" w:hAnsi="微软雅黑" w:hint="eastAsia"/>
                <w:sz w:val="16"/>
                <w:szCs w:val="16"/>
              </w:rPr>
              <w:t>6</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E2B4DD1" w14:textId="4C1BB3DF"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关于转发中国工程建设标准化协会标准《新型冠状病毒感染的肺炎传染病应急医疗设施设计标准》的通知</w:t>
            </w:r>
            <w:r w:rsidRPr="0059343E">
              <w:rPr>
                <w:rFonts w:ascii="微软雅黑" w:eastAsia="微软雅黑" w:hAnsi="微软雅黑"/>
                <w:sz w:val="16"/>
                <w:szCs w:val="16"/>
              </w:rPr>
              <w:t xml:space="preserve"> 陕建标发〔2020〕1号</w:t>
            </w:r>
          </w:p>
        </w:tc>
      </w:tr>
      <w:tr w:rsidR="0059343E" w:rsidRPr="00FD71D4" w14:paraId="5BE34DE2"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144120D" w14:textId="6690F364"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w:t>
            </w:r>
            <w:r>
              <w:rPr>
                <w:rFonts w:ascii="微软雅黑" w:eastAsia="微软雅黑" w:hAnsi="微软雅黑" w:hint="eastAsia"/>
                <w:sz w:val="16"/>
                <w:szCs w:val="16"/>
              </w:rPr>
              <w:t>7</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7B753E48" w14:textId="4798CDCB"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陕西省工程建设项目审批制度改革领导小组办公室关于进一步做好工程建设项目审批服务的通知</w:t>
            </w:r>
            <w:r w:rsidRPr="0059343E">
              <w:rPr>
                <w:rFonts w:ascii="微软雅黑" w:eastAsia="微软雅黑" w:hAnsi="微软雅黑"/>
                <w:sz w:val="16"/>
                <w:szCs w:val="16"/>
              </w:rPr>
              <w:t xml:space="preserve"> 陕建发〔2020〕32号</w:t>
            </w:r>
          </w:p>
        </w:tc>
      </w:tr>
      <w:tr w:rsidR="0059343E" w:rsidRPr="00FD71D4" w14:paraId="1F9ACB0A"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5738AA75" w14:textId="61D62E40"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02/0</w:t>
            </w:r>
            <w:r>
              <w:rPr>
                <w:rFonts w:ascii="微软雅黑" w:eastAsia="微软雅黑" w:hAnsi="微软雅黑" w:hint="eastAsia"/>
                <w:sz w:val="16"/>
                <w:szCs w:val="16"/>
              </w:rPr>
              <w:t>8</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3F02A7D" w14:textId="70B92ECE"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关于印发新型冠状病毒肺炎应急救治设施设计导则（试行）的通知</w:t>
            </w:r>
            <w:r w:rsidRPr="0059343E">
              <w:rPr>
                <w:rFonts w:ascii="微软雅黑" w:eastAsia="微软雅黑" w:hAnsi="微软雅黑"/>
                <w:sz w:val="16"/>
                <w:szCs w:val="16"/>
              </w:rPr>
              <w:t xml:space="preserve"> 国卫办规划函﹝2020﹞111号</w:t>
            </w:r>
          </w:p>
        </w:tc>
      </w:tr>
      <w:tr w:rsidR="0059343E" w:rsidRPr="00FD71D4" w14:paraId="09EFA8CE"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193C61F3" w14:textId="0B4581B6"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15</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C865ECD" w14:textId="55948A5F"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关于印发《住建行业坚决打赢新冠肺炎疫情防控阻击战稳企业稳民生稳发展二十二条措施》的通知</w:t>
            </w:r>
            <w:r w:rsidRPr="0059343E">
              <w:rPr>
                <w:rFonts w:ascii="微软雅黑" w:eastAsia="微软雅黑" w:hAnsi="微软雅黑"/>
                <w:sz w:val="16"/>
                <w:szCs w:val="16"/>
              </w:rPr>
              <w:t xml:space="preserve"> 陕建发〔2020〕35 号</w:t>
            </w:r>
          </w:p>
        </w:tc>
      </w:tr>
      <w:tr w:rsidR="0059343E" w:rsidRPr="00FD71D4" w14:paraId="0623D2A2" w14:textId="77777777" w:rsidTr="00131FF8">
        <w:trPr>
          <w:trHeight w:val="584"/>
        </w:trPr>
        <w:tc>
          <w:tcPr>
            <w:tcW w:w="708"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6DFB453" w14:textId="4C97B0C5"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18</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4F157B30" w14:textId="72655147"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转发省应对新冠肺炎疫情领导小组《关于加强复工复产企业疫情防控信息管理工作的紧急通知》</w:t>
            </w:r>
            <w:r w:rsidRPr="0059343E">
              <w:rPr>
                <w:rFonts w:ascii="微软雅黑" w:eastAsia="微软雅黑" w:hAnsi="微软雅黑"/>
                <w:sz w:val="16"/>
                <w:szCs w:val="16"/>
              </w:rPr>
              <w:t xml:space="preserve"> 陕建发〔2020〕40号</w:t>
            </w:r>
          </w:p>
        </w:tc>
      </w:tr>
      <w:tr w:rsidR="0059343E" w:rsidRPr="00FD71D4" w14:paraId="02035E97" w14:textId="77777777" w:rsidTr="00131FF8">
        <w:trPr>
          <w:trHeight w:val="584"/>
        </w:trPr>
        <w:tc>
          <w:tcPr>
            <w:tcW w:w="708" w:type="pct"/>
            <w:vMerge w:val="restart"/>
            <w:tcBorders>
              <w:top w:val="single" w:sz="8" w:space="0" w:color="FFFFFF"/>
              <w:left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5C5A815" w14:textId="33EBF739" w:rsidR="0059343E" w:rsidRPr="00FD71D4" w:rsidRDefault="0059343E" w:rsidP="00FC0C23">
            <w:pPr>
              <w:adjustRightInd w:val="0"/>
              <w:snapToGrid w:val="0"/>
              <w:ind w:firstLineChars="83" w:firstLine="133"/>
              <w:jc w:val="center"/>
              <w:rPr>
                <w:rFonts w:ascii="微软雅黑" w:eastAsia="微软雅黑" w:hAnsi="微软雅黑"/>
                <w:sz w:val="16"/>
                <w:szCs w:val="16"/>
              </w:rPr>
            </w:pPr>
            <w:r w:rsidRPr="00FD71D4">
              <w:rPr>
                <w:rFonts w:ascii="微软雅黑" w:eastAsia="微软雅黑" w:hAnsi="微软雅黑" w:hint="eastAsia"/>
                <w:sz w:val="16"/>
                <w:szCs w:val="16"/>
              </w:rPr>
              <w:t>02/</w:t>
            </w:r>
            <w:r>
              <w:rPr>
                <w:rFonts w:ascii="微软雅黑" w:eastAsia="微软雅黑" w:hAnsi="微软雅黑" w:hint="eastAsia"/>
                <w:sz w:val="16"/>
                <w:szCs w:val="16"/>
              </w:rPr>
              <w:t>24</w:t>
            </w: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ACE28E2" w14:textId="7E7804DE"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关于切实加强复工复产安全防范和安全服务的通知</w:t>
            </w:r>
            <w:r w:rsidRPr="0059343E">
              <w:rPr>
                <w:rFonts w:ascii="微软雅黑" w:eastAsia="微软雅黑" w:hAnsi="微软雅黑"/>
                <w:sz w:val="16"/>
                <w:szCs w:val="16"/>
              </w:rPr>
              <w:t xml:space="preserve"> 陕建质发〔2020〕10号</w:t>
            </w:r>
          </w:p>
        </w:tc>
      </w:tr>
      <w:tr w:rsidR="0059343E" w:rsidRPr="00FD71D4" w14:paraId="59EE53DC" w14:textId="77777777" w:rsidTr="00131FF8">
        <w:trPr>
          <w:trHeight w:val="584"/>
        </w:trPr>
        <w:tc>
          <w:tcPr>
            <w:tcW w:w="708" w:type="pct"/>
            <w:vMerge/>
            <w:tcBorders>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301A688D" w14:textId="77777777" w:rsidR="0059343E" w:rsidRPr="00FD71D4" w:rsidRDefault="0059343E" w:rsidP="00FC0C23">
            <w:pPr>
              <w:adjustRightInd w:val="0"/>
              <w:snapToGrid w:val="0"/>
              <w:ind w:firstLineChars="83" w:firstLine="133"/>
              <w:jc w:val="center"/>
              <w:rPr>
                <w:rFonts w:ascii="微软雅黑" w:eastAsia="微软雅黑" w:hAnsi="微软雅黑"/>
                <w:sz w:val="16"/>
                <w:szCs w:val="16"/>
              </w:rPr>
            </w:pPr>
          </w:p>
        </w:tc>
        <w:tc>
          <w:tcPr>
            <w:tcW w:w="429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tcPr>
          <w:p w14:paraId="0029AD69" w14:textId="6C4F52B3" w:rsidR="0059343E" w:rsidRPr="00FD71D4" w:rsidRDefault="0059343E" w:rsidP="00FC0C23">
            <w:pPr>
              <w:adjustRightInd w:val="0"/>
              <w:snapToGrid w:val="0"/>
              <w:jc w:val="center"/>
              <w:rPr>
                <w:rFonts w:ascii="微软雅黑" w:eastAsia="微软雅黑" w:hAnsi="微软雅黑"/>
                <w:sz w:val="16"/>
                <w:szCs w:val="16"/>
              </w:rPr>
            </w:pPr>
            <w:r w:rsidRPr="0059343E">
              <w:rPr>
                <w:rFonts w:ascii="微软雅黑" w:eastAsia="微软雅黑" w:hAnsi="微软雅黑" w:hint="eastAsia"/>
                <w:sz w:val="16"/>
                <w:szCs w:val="16"/>
              </w:rPr>
              <w:t>关于印发《做好疫情防控前提下分类有序推动建设行业企业复工复产实施方案》的通知</w:t>
            </w:r>
            <w:r w:rsidRPr="0059343E">
              <w:rPr>
                <w:rFonts w:ascii="微软雅黑" w:eastAsia="微软雅黑" w:hAnsi="微软雅黑"/>
                <w:sz w:val="16"/>
                <w:szCs w:val="16"/>
              </w:rPr>
              <w:t xml:space="preserve"> 陕建发〔2020〕43号</w:t>
            </w:r>
          </w:p>
        </w:tc>
      </w:tr>
    </w:tbl>
    <w:p w14:paraId="58257334" w14:textId="77777777" w:rsidR="0059343E" w:rsidRPr="0059343E" w:rsidRDefault="0059343E" w:rsidP="0059343E"/>
    <w:p w14:paraId="79B702EA" w14:textId="77777777" w:rsidR="00334778" w:rsidRDefault="00334778" w:rsidP="0059343E">
      <w:pPr>
        <w:pStyle w:val="a5"/>
        <w:jc w:val="center"/>
      </w:pPr>
    </w:p>
    <w:p w14:paraId="5B4ACAB6" w14:textId="77777777" w:rsidR="00D463AC" w:rsidRDefault="00D463AC" w:rsidP="00D463AC">
      <w:pPr>
        <w:spacing w:after="156"/>
        <w:outlineLvl w:val="0"/>
        <w:rPr>
          <w:rFonts w:ascii="微软雅黑" w:eastAsia="微软雅黑" w:hAnsi="微软雅黑"/>
          <w:b/>
          <w:bCs/>
          <w:color w:val="0070C0"/>
          <w:sz w:val="28"/>
          <w:szCs w:val="28"/>
        </w:rPr>
        <w:sectPr w:rsidR="00D463AC">
          <w:pgSz w:w="11906" w:h="16838"/>
          <w:pgMar w:top="1440" w:right="1800" w:bottom="1440" w:left="1800" w:header="851" w:footer="992" w:gutter="0"/>
          <w:cols w:space="425"/>
          <w:docGrid w:type="lines" w:linePitch="312"/>
        </w:sectPr>
      </w:pPr>
    </w:p>
    <w:p w14:paraId="152CC149" w14:textId="77777777" w:rsidR="005D1DD9" w:rsidRPr="004414A0" w:rsidRDefault="005D1DD9" w:rsidP="005D1DD9">
      <w:pPr>
        <w:spacing w:after="156"/>
        <w:outlineLvl w:val="0"/>
        <w:rPr>
          <w:rFonts w:ascii="微软雅黑" w:eastAsia="微软雅黑" w:hAnsi="微软雅黑"/>
          <w:b/>
          <w:bCs/>
          <w:color w:val="0070C0"/>
          <w:sz w:val="28"/>
          <w:szCs w:val="28"/>
        </w:rPr>
      </w:pPr>
      <w:r>
        <w:rPr>
          <w:rFonts w:ascii="微软雅黑" w:eastAsia="微软雅黑" w:hAnsi="微软雅黑" w:hint="eastAsia"/>
          <w:b/>
          <w:bCs/>
          <w:color w:val="0070C0"/>
          <w:sz w:val="28"/>
          <w:szCs w:val="28"/>
        </w:rPr>
        <w:lastRenderedPageBreak/>
        <w:t>【</w:t>
      </w:r>
      <w:r w:rsidRPr="004414A0">
        <w:rPr>
          <w:rFonts w:ascii="微软雅黑" w:eastAsia="微软雅黑" w:hAnsi="微软雅黑" w:hint="eastAsia"/>
          <w:b/>
          <w:bCs/>
          <w:color w:val="0070C0"/>
          <w:sz w:val="28"/>
          <w:szCs w:val="28"/>
        </w:rPr>
        <w:t>总结</w:t>
      </w:r>
      <w:r>
        <w:rPr>
          <w:rFonts w:ascii="微软雅黑" w:eastAsia="微软雅黑" w:hAnsi="微软雅黑" w:hint="eastAsia"/>
          <w:b/>
          <w:bCs/>
          <w:color w:val="0070C0"/>
          <w:sz w:val="28"/>
          <w:szCs w:val="28"/>
        </w:rPr>
        <w:t>】</w:t>
      </w:r>
    </w:p>
    <w:p w14:paraId="70FFCCE8" w14:textId="77777777" w:rsidR="005D1DD9" w:rsidRPr="002C374A" w:rsidRDefault="005D1DD9" w:rsidP="005D1DD9">
      <w:pPr>
        <w:spacing w:after="120" w:line="300" w:lineRule="auto"/>
        <w:ind w:firstLineChars="200" w:firstLine="480"/>
      </w:pPr>
      <w:r w:rsidRPr="002C374A">
        <w:rPr>
          <w:rFonts w:hint="eastAsia"/>
        </w:rPr>
        <w:t>目前各种政策虽然层出不穷，但是从顶层设计到下层落实推进的时间点难以把握，对于企业来说，越是艰难的时刻，越需要发挥自身力量，学会“自救”。</w:t>
      </w:r>
    </w:p>
    <w:p w14:paraId="2064D3BF" w14:textId="1B712A8F" w:rsidR="005D1DD9" w:rsidRPr="004414A0" w:rsidRDefault="005D1DD9" w:rsidP="005D1DD9">
      <w:pPr>
        <w:spacing w:after="120" w:line="300" w:lineRule="auto"/>
        <w:ind w:firstLineChars="200" w:firstLine="480"/>
      </w:pPr>
      <w:r w:rsidRPr="004414A0">
        <w:rPr>
          <w:rFonts w:hint="eastAsia"/>
        </w:rPr>
        <w:t>第一，疫情影响项目正常运转带来的流动</w:t>
      </w:r>
      <w:r>
        <w:rPr>
          <w:rFonts w:hint="eastAsia"/>
        </w:rPr>
        <w:t>资金</w:t>
      </w:r>
      <w:r w:rsidRPr="004414A0">
        <w:rPr>
          <w:rFonts w:hint="eastAsia"/>
        </w:rPr>
        <w:t>压力，从各地发布的政策和已经</w:t>
      </w:r>
      <w:r>
        <w:rPr>
          <w:rFonts w:hint="eastAsia"/>
        </w:rPr>
        <w:t>呈现出</w:t>
      </w:r>
      <w:r w:rsidRPr="004414A0">
        <w:rPr>
          <w:rFonts w:hint="eastAsia"/>
        </w:rPr>
        <w:t>的问题来看，将</w:t>
      </w:r>
      <w:r w:rsidR="00FB2967">
        <w:rPr>
          <w:rFonts w:hint="eastAsia"/>
        </w:rPr>
        <w:t>为企业带来</w:t>
      </w:r>
      <w:r w:rsidRPr="004414A0">
        <w:rPr>
          <w:rFonts w:hint="eastAsia"/>
        </w:rPr>
        <w:t>直接影响</w:t>
      </w:r>
      <w:r w:rsidR="00FB2967">
        <w:rPr>
          <w:rFonts w:hint="eastAsia"/>
        </w:rPr>
        <w:t>。</w:t>
      </w:r>
      <w:r w:rsidRPr="004414A0">
        <w:rPr>
          <w:rFonts w:hint="eastAsia"/>
        </w:rPr>
        <w:t>一方面企业</w:t>
      </w:r>
      <w:r w:rsidR="0030755A">
        <w:rPr>
          <w:rFonts w:hint="eastAsia"/>
        </w:rPr>
        <w:t>应加强</w:t>
      </w:r>
      <w:r w:rsidRPr="004414A0">
        <w:rPr>
          <w:rFonts w:hint="eastAsia"/>
        </w:rPr>
        <w:t>自身的资金统筹管理，另一方面</w:t>
      </w:r>
      <w:r w:rsidR="0030755A">
        <w:rPr>
          <w:rFonts w:hint="eastAsia"/>
        </w:rPr>
        <w:t>应</w:t>
      </w:r>
      <w:r w:rsidRPr="004414A0">
        <w:rPr>
          <w:rFonts w:hint="eastAsia"/>
        </w:rPr>
        <w:t>争取金融机构的信贷支持。</w:t>
      </w:r>
    </w:p>
    <w:p w14:paraId="571C1CC7" w14:textId="459300DE" w:rsidR="005D1DD9" w:rsidRPr="004414A0" w:rsidRDefault="005D1DD9" w:rsidP="005D1DD9">
      <w:pPr>
        <w:spacing w:after="120" w:line="300" w:lineRule="auto"/>
        <w:ind w:firstLineChars="200" w:firstLine="480"/>
      </w:pPr>
      <w:r w:rsidRPr="004414A0">
        <w:rPr>
          <w:rFonts w:hint="eastAsia"/>
        </w:rPr>
        <w:t>第二，</w:t>
      </w:r>
      <w:r w:rsidR="00256D6E">
        <w:rPr>
          <w:rFonts w:hint="eastAsia"/>
        </w:rPr>
        <w:t>在</w:t>
      </w:r>
      <w:r w:rsidRPr="004414A0">
        <w:rPr>
          <w:rFonts w:hint="eastAsia"/>
        </w:rPr>
        <w:t>日常经营运作方面，探索新的工作模式已经成为一种普遍的尝试，本次疫情一定会加速在线协同工作的进程</w:t>
      </w:r>
      <w:r w:rsidRPr="002C374A">
        <w:rPr>
          <w:rFonts w:hint="eastAsia"/>
        </w:rPr>
        <w:t>。</w:t>
      </w:r>
    </w:p>
    <w:p w14:paraId="6C88E8B0" w14:textId="77777777" w:rsidR="005D1DD9" w:rsidRPr="002C374A" w:rsidRDefault="005D1DD9" w:rsidP="00146D1C">
      <w:pPr>
        <w:pStyle w:val="a6"/>
        <w:numPr>
          <w:ilvl w:val="0"/>
          <w:numId w:val="7"/>
        </w:numPr>
        <w:spacing w:after="120" w:line="300" w:lineRule="auto"/>
        <w:ind w:firstLineChars="0"/>
        <w:rPr>
          <w:sz w:val="24"/>
        </w:rPr>
      </w:pPr>
      <w:r w:rsidRPr="002C374A">
        <w:rPr>
          <w:rFonts w:hint="eastAsia"/>
          <w:sz w:val="24"/>
        </w:rPr>
        <w:t>为解决类似突发事件对内部工作协同、与客户交互服务的影响，加快推进正向设计、协同设计将是重要的基础性工作；</w:t>
      </w:r>
    </w:p>
    <w:p w14:paraId="5B53A571" w14:textId="2A006033" w:rsidR="005D1DD9" w:rsidRPr="002C374A" w:rsidRDefault="005D1DD9" w:rsidP="00146D1C">
      <w:pPr>
        <w:pStyle w:val="a6"/>
        <w:numPr>
          <w:ilvl w:val="0"/>
          <w:numId w:val="7"/>
        </w:numPr>
        <w:spacing w:after="120" w:line="300" w:lineRule="auto"/>
        <w:ind w:firstLineChars="0"/>
        <w:rPr>
          <w:sz w:val="24"/>
        </w:rPr>
      </w:pPr>
      <w:r w:rsidRPr="002C374A">
        <w:rPr>
          <w:rFonts w:hint="eastAsia"/>
          <w:sz w:val="24"/>
        </w:rPr>
        <w:t>在线协同工作方式的精益化</w:t>
      </w:r>
      <w:r w:rsidR="00256D6E">
        <w:rPr>
          <w:rFonts w:hint="eastAsia"/>
          <w:sz w:val="24"/>
        </w:rPr>
        <w:t>。</w:t>
      </w:r>
      <w:r w:rsidRPr="002C374A">
        <w:rPr>
          <w:rFonts w:hint="eastAsia"/>
          <w:sz w:val="24"/>
        </w:rPr>
        <w:t>相较于面对面的交流，技术手段解决了沟通渠道问题</w:t>
      </w:r>
      <w:r w:rsidR="00256D6E">
        <w:rPr>
          <w:rFonts w:hint="eastAsia"/>
          <w:sz w:val="24"/>
        </w:rPr>
        <w:t>。</w:t>
      </w:r>
      <w:r w:rsidRPr="002C374A">
        <w:rPr>
          <w:rFonts w:hint="eastAsia"/>
          <w:sz w:val="24"/>
        </w:rPr>
        <w:t>但如何更好地提高在线协同效率将是需要突破的问题</w:t>
      </w:r>
      <w:r w:rsidR="00256D6E">
        <w:rPr>
          <w:rFonts w:hint="eastAsia"/>
          <w:sz w:val="24"/>
        </w:rPr>
        <w:t>。</w:t>
      </w:r>
      <w:r w:rsidRPr="002C374A">
        <w:rPr>
          <w:rFonts w:hint="eastAsia"/>
          <w:sz w:val="24"/>
        </w:rPr>
        <w:t>这需要关注工作的有效策划分解及有效跟踪、研讨型会议的策划与组织、员工职业化工作行为规范等</w:t>
      </w:r>
      <w:r w:rsidR="00256D6E">
        <w:rPr>
          <w:rFonts w:hint="eastAsia"/>
          <w:sz w:val="24"/>
        </w:rPr>
        <w:t>诸多方面</w:t>
      </w:r>
      <w:r w:rsidRPr="002C374A">
        <w:rPr>
          <w:rFonts w:hint="eastAsia"/>
          <w:sz w:val="24"/>
        </w:rPr>
        <w:t>。</w:t>
      </w:r>
    </w:p>
    <w:p w14:paraId="32FEC37B" w14:textId="5186EA7F" w:rsidR="005D1DD9" w:rsidRPr="00A93738" w:rsidRDefault="005D1DD9" w:rsidP="005D1DD9">
      <w:pPr>
        <w:spacing w:after="120" w:line="300" w:lineRule="auto"/>
        <w:ind w:firstLineChars="200" w:firstLine="480"/>
      </w:pPr>
      <w:r w:rsidRPr="00A93738">
        <w:rPr>
          <w:rFonts w:hint="eastAsia"/>
        </w:rPr>
        <w:t>第三，员工人文关怀。企业—员工的职业格局未来会随着行业市场监管、工作协同方式的改变而发生较大变化</w:t>
      </w:r>
      <w:r w:rsidR="004B0619">
        <w:rPr>
          <w:rFonts w:hint="eastAsia"/>
        </w:rPr>
        <w:t>。</w:t>
      </w:r>
      <w:r w:rsidRPr="00A93738">
        <w:rPr>
          <w:rFonts w:hint="eastAsia"/>
        </w:rPr>
        <w:t>部分设计企业与员工的关联更多是一种利益链接</w:t>
      </w:r>
      <w:r w:rsidR="004B0619">
        <w:rPr>
          <w:rFonts w:hint="eastAsia"/>
        </w:rPr>
        <w:t>。</w:t>
      </w:r>
      <w:r w:rsidRPr="00A93738">
        <w:rPr>
          <w:rFonts w:hint="eastAsia"/>
        </w:rPr>
        <w:t>面对当前的困境，企业的主动作为是与员工建立新型伙伴关系的重要契机，以人文关怀加强粘性与归属感，共克时艰。</w:t>
      </w:r>
    </w:p>
    <w:p w14:paraId="729E20F2" w14:textId="66EAC7D3" w:rsidR="005D1DD9" w:rsidRPr="002C374A" w:rsidRDefault="005D1DD9" w:rsidP="005D1DD9">
      <w:pPr>
        <w:spacing w:after="120" w:line="300" w:lineRule="auto"/>
        <w:ind w:firstLineChars="200" w:firstLine="480"/>
      </w:pPr>
      <w:r w:rsidRPr="00A93738">
        <w:rPr>
          <w:rFonts w:hint="eastAsia"/>
        </w:rPr>
        <w:t>第四，“战时”创新主动布局未来。这次疫情也将对未来城市建设管理、相关基础设施建设带来新的要求，包括医疗建筑、智慧城市等方面</w:t>
      </w:r>
      <w:r w:rsidR="004B0619">
        <w:rPr>
          <w:rFonts w:hint="eastAsia"/>
        </w:rPr>
        <w:t>。</w:t>
      </w:r>
      <w:r w:rsidRPr="00A93738">
        <w:rPr>
          <w:rFonts w:hint="eastAsia"/>
        </w:rPr>
        <w:t>如何立足场景需求，布局产品与服务创新，也将是跨越寒冬、拥抱新春天的主动作为。一旦机会来临，拥有更具价值的业务结构便能让企业有机会与其他企业拉开距离。</w:t>
      </w:r>
    </w:p>
    <w:p w14:paraId="3762C6E5" w14:textId="77777777" w:rsidR="005D1DD9" w:rsidRDefault="005D1DD9" w:rsidP="005D1DD9">
      <w:pPr>
        <w:spacing w:after="156"/>
        <w:ind w:firstLine="480"/>
        <w:rPr>
          <w:rFonts w:ascii="仿宋_GB2312" w:eastAsia="仿宋_GB2312" w:hAnsi="仿宋_GB2312"/>
        </w:rPr>
      </w:pPr>
    </w:p>
    <w:p w14:paraId="63751715" w14:textId="77777777" w:rsidR="005D1DD9" w:rsidRDefault="005D1DD9" w:rsidP="005D1DD9">
      <w:pPr>
        <w:spacing w:after="156"/>
        <w:ind w:firstLine="482"/>
        <w:rPr>
          <w:rFonts w:ascii="仿宋_GB2312" w:eastAsia="仿宋_GB2312" w:hAnsi="仿宋_GB2312"/>
          <w:b/>
          <w:bCs/>
        </w:rPr>
      </w:pPr>
      <w:r w:rsidRPr="00E72326">
        <w:rPr>
          <w:rFonts w:ascii="仿宋_GB2312" w:eastAsia="仿宋_GB2312" w:hAnsi="仿宋_GB2312" w:hint="eastAsia"/>
          <w:b/>
          <w:bCs/>
        </w:rPr>
        <w:t>关注思翔工程设计洞察微信（tacter</w:t>
      </w:r>
      <w:r w:rsidRPr="00E72326">
        <w:rPr>
          <w:rFonts w:ascii="仿宋_GB2312" w:eastAsia="仿宋_GB2312" w:hAnsi="仿宋_GB2312"/>
          <w:b/>
          <w:bCs/>
        </w:rPr>
        <w:t>-sixiang</w:t>
      </w:r>
      <w:r w:rsidRPr="00E72326">
        <w:rPr>
          <w:rFonts w:ascii="仿宋_GB2312" w:eastAsia="仿宋_GB2312" w:hAnsi="仿宋_GB2312" w:hint="eastAsia"/>
          <w:b/>
          <w:bCs/>
        </w:rPr>
        <w:t>），回复关键词</w:t>
      </w:r>
      <w:r>
        <w:rPr>
          <w:rFonts w:ascii="仿宋_GB2312" w:eastAsia="仿宋_GB2312" w:hAnsi="仿宋_GB2312" w:hint="eastAsia"/>
          <w:b/>
          <w:bCs/>
        </w:rPr>
        <w:t>【疫情】</w:t>
      </w:r>
      <w:r w:rsidRPr="00E72326">
        <w:rPr>
          <w:rFonts w:ascii="仿宋_GB2312" w:eastAsia="仿宋_GB2312" w:hAnsi="仿宋_GB2312" w:hint="eastAsia"/>
          <w:b/>
          <w:bCs/>
        </w:rPr>
        <w:t>，即可获取与对抗疫情相关的专业文章。</w:t>
      </w:r>
    </w:p>
    <w:p w14:paraId="1E035CF1" w14:textId="77777777" w:rsidR="005D1DD9" w:rsidRPr="00234B6D" w:rsidRDefault="005D1DD9" w:rsidP="005D1DD9">
      <w:pPr>
        <w:spacing w:after="156"/>
        <w:ind w:firstLine="482"/>
        <w:jc w:val="right"/>
        <w:rPr>
          <w:rFonts w:ascii="仿宋_GB2312" w:eastAsia="仿宋_GB2312" w:hAnsi="仿宋_GB2312"/>
          <w:b/>
          <w:bCs/>
        </w:rPr>
        <w:sectPr w:rsidR="005D1DD9" w:rsidRPr="00234B6D">
          <w:pgSz w:w="11906" w:h="16838"/>
          <w:pgMar w:top="1440" w:right="1646" w:bottom="1440" w:left="1980" w:header="779" w:footer="992" w:gutter="0"/>
          <w:cols w:space="720"/>
          <w:docGrid w:type="lines" w:linePitch="312"/>
        </w:sectPr>
      </w:pPr>
      <w:r>
        <w:rPr>
          <w:rFonts w:ascii="仿宋_GB2312" w:eastAsia="仿宋_GB2312" w:hAnsi="仿宋_GB2312" w:hint="eastAsia"/>
          <w:b/>
          <w:bCs/>
          <w:noProof/>
        </w:rPr>
        <w:drawing>
          <wp:inline distT="0" distB="0" distL="0" distR="0" wp14:anchorId="02115B00" wp14:editId="6EDCD37B">
            <wp:extent cx="1028700" cy="1028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思翔工程设计洞察订阅号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5570" cy="1055570"/>
                    </a:xfrm>
                    <a:prstGeom prst="rect">
                      <a:avLst/>
                    </a:prstGeom>
                  </pic:spPr>
                </pic:pic>
              </a:graphicData>
            </a:graphic>
          </wp:inline>
        </w:drawing>
      </w:r>
    </w:p>
    <w:p w14:paraId="08871B95" w14:textId="77777777" w:rsidR="00F90D93" w:rsidRDefault="00086364">
      <w:pPr>
        <w:spacing w:afterLines="50" w:after="156" w:line="300" w:lineRule="auto"/>
        <w:rPr>
          <w:rFonts w:ascii="楷体_GB2312" w:eastAsia="楷体_GB2312" w:hAnsi="楷体_GB2312" w:cs="楷体_GB2312"/>
          <w:b/>
          <w:color w:val="006699"/>
        </w:rPr>
      </w:pPr>
      <w:r>
        <w:rPr>
          <w:noProof/>
        </w:rPr>
        <w:lastRenderedPageBreak/>
        <mc:AlternateContent>
          <mc:Choice Requires="wps">
            <w:drawing>
              <wp:anchor distT="0" distB="0" distL="114300" distR="114300" simplePos="0" relativeHeight="251711487" behindDoc="0" locked="0" layoutInCell="1" allowOverlap="1" wp14:anchorId="1CA07D3B" wp14:editId="53F0FF4D">
                <wp:simplePos x="0" y="0"/>
                <wp:positionH relativeFrom="column">
                  <wp:posOffset>-1274885</wp:posOffset>
                </wp:positionH>
                <wp:positionV relativeFrom="paragraph">
                  <wp:posOffset>-1202592</wp:posOffset>
                </wp:positionV>
                <wp:extent cx="7579995" cy="10817127"/>
                <wp:effectExtent l="0" t="0" r="1905" b="3810"/>
                <wp:wrapNone/>
                <wp:docPr id="58" name="矩形 9"/>
                <wp:cNvGraphicFramePr/>
                <a:graphic xmlns:a="http://schemas.openxmlformats.org/drawingml/2006/main">
                  <a:graphicData uri="http://schemas.microsoft.com/office/word/2010/wordprocessingShape">
                    <wps:wsp>
                      <wps:cNvSpPr/>
                      <wps:spPr>
                        <a:xfrm>
                          <a:off x="0" y="0"/>
                          <a:ext cx="7579995" cy="10817127"/>
                        </a:xfrm>
                        <a:prstGeom prst="rect">
                          <a:avLst/>
                        </a:prstGeom>
                        <a:gradFill>
                          <a:gsLst>
                            <a:gs pos="54000">
                              <a:srgbClr val="114830"/>
                            </a:gs>
                            <a:gs pos="100000">
                              <a:srgbClr val="0C1B0D"/>
                            </a:gs>
                            <a:gs pos="0">
                              <a:srgbClr val="729741"/>
                            </a:gs>
                          </a:gsLst>
                          <a:path path="circle">
                            <a:fillToRect l="100000" b="100000"/>
                          </a:path>
                          <a:tileRect t="-100000" r="-100000"/>
                        </a:gradFill>
                        <a:ln w="9525" cap="flat" cmpd="sng" algn="ctr">
                          <a:noFill/>
                          <a:prstDash val="solid"/>
                          <a:round/>
                          <a:headEnd type="none" w="med" len="med"/>
                          <a:tailEnd type="none" w="med" len="med"/>
                        </a:ln>
                      </wps:spPr>
                      <wps:bodyPr vert="horz" wrap="square" lIns="109728" tIns="54864" rIns="109728" bIns="54864" numCol="1" rtlCol="0" anchor="ctr" anchorCtr="0" compatLnSpc="1"/>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C63E87" id="矩形 9" o:spid="_x0000_s1026" style="position:absolute;left:0;text-align:left;margin-left:-100.4pt;margin-top:-94.7pt;width:596.85pt;height:851.75pt;z-index:251711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" fillcolor="#729741" stroked="f">
                <v:fill color2="#0c1b0d" focusposition="1" focussize="" colors="0 #729741;35389f #114830;1 #0c1b0d" focus="100%" type="gradientRadial"/>
                <v:stroke joinstyle="round"/>
                <v:textbox inset="8.64pt,4.32pt,8.64pt,4.32pt"/>
              </v:rect>
            </w:pict>
          </mc:Fallback>
        </mc:AlternateContent>
      </w:r>
      <w:r w:rsidR="009B2FB6">
        <w:rPr>
          <w:noProof/>
        </w:rPr>
        <mc:AlternateContent>
          <mc:Choice Requires="wps">
            <w:drawing>
              <wp:anchor distT="0" distB="0" distL="114300" distR="114300" simplePos="0" relativeHeight="251783168" behindDoc="0" locked="0" layoutInCell="1" allowOverlap="1" wp14:anchorId="5F7F06A9" wp14:editId="272F6B7F">
                <wp:simplePos x="0" y="0"/>
                <wp:positionH relativeFrom="column">
                  <wp:posOffset>-889000</wp:posOffset>
                </wp:positionH>
                <wp:positionV relativeFrom="paragraph">
                  <wp:posOffset>8255000</wp:posOffset>
                </wp:positionV>
                <wp:extent cx="4078605" cy="126365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68300" y="9169400"/>
                          <a:ext cx="4078605" cy="1263650"/>
                        </a:xfrm>
                        <a:prstGeom prst="rect">
                          <a:avLst/>
                        </a:prstGeom>
                        <a:noFill/>
                        <a:ln>
                          <a:noFill/>
                        </a:ln>
                        <a:effectLst/>
                      </wps:spPr>
                      <wps:txbx>
                        <w:txbxContent>
                          <w:p w14:paraId="4262CABB" w14:textId="77777777" w:rsidR="007D03A1" w:rsidRDefault="007D03A1">
                            <w:pPr>
                              <w:pStyle w:val="1"/>
                              <w:widowControl/>
                              <w:numPr>
                                <w:ilvl w:val="0"/>
                                <w:numId w:val="1"/>
                              </w:numPr>
                              <w:adjustRightInd w:val="0"/>
                              <w:snapToGrid w:val="0"/>
                              <w:ind w:firstLineChars="0"/>
                              <w:jc w:val="left"/>
                              <w:textAlignment w:val="baseline"/>
                            </w:pPr>
                            <w:r>
                              <w:rPr>
                                <w:rFonts w:ascii="Hiragino Sans GB W6" w:eastAsia="Hiragino Sans GB W6" w:hAnsi="Hiragino Sans GB W6"/>
                                <w:b/>
                                <w:color w:val="8C8C8C"/>
                                <w:kern w:val="24"/>
                                <w:sz w:val="24"/>
                              </w:rPr>
                              <w:t>天强管理顾问</w:t>
                            </w:r>
                          </w:p>
                          <w:p w14:paraId="63083D0D"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上海 / 北京 / 广州 / 成都 / 武汉 / 西安 / 天津</w:t>
                            </w:r>
                          </w:p>
                          <w:p w14:paraId="4E1B02C0"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上海总部：淞沪路308号创智天地广场9号楼3层</w:t>
                            </w:r>
                          </w:p>
                          <w:p w14:paraId="7D455038"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Tel：021-68868860         Fax: 021-68868878</w:t>
                            </w:r>
                          </w:p>
                        </w:txbxContent>
                      </wps:txbx>
                      <wps:bodyPr vert="horz" wrap="square" lIns="0" tIns="0" rIns="0" bIns="0" anchor="t">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F06A9" id="Rectangle 16" o:spid="_x0000_s1027" style="position:absolute;margin-left:-70pt;margin-top:650pt;width:321.15pt;height:9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" filled="f" stroked="f">
                <v:textbox inset="0,0,0,0">
                  <w:txbxContent>
                    <w:p w14:paraId="4262CABB" w14:textId="77777777" w:rsidR="007D03A1" w:rsidRDefault="007D03A1">
                      <w:pPr>
                        <w:pStyle w:val="1"/>
                        <w:widowControl/>
                        <w:numPr>
                          <w:ilvl w:val="0"/>
                          <w:numId w:val="1"/>
                        </w:numPr>
                        <w:adjustRightInd w:val="0"/>
                        <w:snapToGrid w:val="0"/>
                        <w:ind w:firstLineChars="0"/>
                        <w:jc w:val="left"/>
                        <w:textAlignment w:val="baseline"/>
                      </w:pPr>
                      <w:r>
                        <w:rPr>
                          <w:rFonts w:ascii="Hiragino Sans GB W6" w:eastAsia="Hiragino Sans GB W6" w:hAnsi="Hiragino Sans GB W6"/>
                          <w:b/>
                          <w:color w:val="8C8C8C"/>
                          <w:kern w:val="24"/>
                          <w:sz w:val="24"/>
                        </w:rPr>
                        <w:t>天强管理顾问</w:t>
                      </w:r>
                    </w:p>
                    <w:p w14:paraId="63083D0D"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上海 / 北京 / 广州 / 成都 / 武汉 / 西安 / 天津</w:t>
                      </w:r>
                    </w:p>
                    <w:p w14:paraId="4E1B02C0"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上海总部：淞沪路308号创智天地广场9号楼3层</w:t>
                      </w:r>
                    </w:p>
                    <w:p w14:paraId="7D455038" w14:textId="77777777" w:rsidR="007D03A1" w:rsidRDefault="007D03A1">
                      <w:pPr>
                        <w:pStyle w:val="1"/>
                        <w:widowControl/>
                        <w:numPr>
                          <w:ilvl w:val="0"/>
                          <w:numId w:val="1"/>
                        </w:numPr>
                        <w:adjustRightInd w:val="0"/>
                        <w:snapToGrid w:val="0"/>
                        <w:ind w:firstLineChars="0"/>
                        <w:jc w:val="left"/>
                        <w:textAlignment w:val="baseline"/>
                      </w:pPr>
                      <w:r>
                        <w:rPr>
                          <w:rFonts w:ascii="Hiragino Sans GB W3" w:eastAsia="Hiragino Sans GB W3" w:hAnsi="Hiragino Sans GB W3"/>
                          <w:color w:val="8C8C8C"/>
                          <w:kern w:val="24"/>
                          <w:sz w:val="16"/>
                          <w:szCs w:val="16"/>
                        </w:rPr>
                        <w:t>Tel：021-68868860         Fax: 021-68868878</w:t>
                      </w:r>
                    </w:p>
                  </w:txbxContent>
                </v:textbox>
              </v:rect>
            </w:pict>
          </mc:Fallback>
        </mc:AlternateContent>
      </w:r>
      <w:r w:rsidR="009B2FB6">
        <w:rPr>
          <w:noProof/>
        </w:rPr>
        <mc:AlternateContent>
          <mc:Choice Requires="wps">
            <w:drawing>
              <wp:anchor distT="0" distB="0" distL="114300" distR="114300" simplePos="0" relativeHeight="251788288" behindDoc="0" locked="0" layoutInCell="1" allowOverlap="1" wp14:anchorId="613BA267" wp14:editId="47D23D42">
                <wp:simplePos x="0" y="0"/>
                <wp:positionH relativeFrom="column">
                  <wp:posOffset>-614045</wp:posOffset>
                </wp:positionH>
                <wp:positionV relativeFrom="paragraph">
                  <wp:posOffset>2971800</wp:posOffset>
                </wp:positionV>
                <wp:extent cx="4445000" cy="0"/>
                <wp:effectExtent l="0" t="0" r="0" b="0"/>
                <wp:wrapNone/>
                <wp:docPr id="47" name="直线连接符 4"/>
                <wp:cNvGraphicFramePr/>
                <a:graphic xmlns:a="http://schemas.openxmlformats.org/drawingml/2006/main">
                  <a:graphicData uri="http://schemas.microsoft.com/office/word/2010/wordprocessingShape">
                    <wps:wsp>
                      <wps:cNvCnPr/>
                      <wps:spPr bwMode="auto">
                        <a:xfrm>
                          <a:off x="643255" y="3886200"/>
                          <a:ext cx="4445000" cy="0"/>
                        </a:xfrm>
                        <a:prstGeom prst="line">
                          <a:avLst/>
                        </a:prstGeom>
                        <a:solidFill>
                          <a:srgbClr val="4F81BD"/>
                        </a:solidFill>
                        <a:ln w="9525" cap="flat" cmpd="sng" algn="ctr">
                          <a:solidFill>
                            <a:srgbClr val="8C8C8C"/>
                          </a:solidFill>
                          <a:prstDash val="solid"/>
                          <a:round/>
                          <a:headEnd type="none" w="med" len="med"/>
                          <a:tailEnd type="none" w="med" len="me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8A2A8" id="直线连接符 4"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48.35pt,234pt" to="301.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" filled="t" fillcolor="#4f81bd" strokecolor="#8c8c8c"/>
            </w:pict>
          </mc:Fallback>
        </mc:AlternateContent>
      </w:r>
      <w:r w:rsidR="009B2FB6">
        <w:rPr>
          <w:noProof/>
        </w:rPr>
        <mc:AlternateContent>
          <mc:Choice Requires="wps">
            <w:drawing>
              <wp:anchor distT="0" distB="0" distL="114300" distR="114300" simplePos="0" relativeHeight="251786240" behindDoc="0" locked="0" layoutInCell="1" allowOverlap="1" wp14:anchorId="6784DFC5" wp14:editId="6F897DC0">
                <wp:simplePos x="0" y="0"/>
                <wp:positionH relativeFrom="column">
                  <wp:posOffset>-880110</wp:posOffset>
                </wp:positionH>
                <wp:positionV relativeFrom="paragraph">
                  <wp:posOffset>2527300</wp:posOffset>
                </wp:positionV>
                <wp:extent cx="4646295" cy="368935"/>
                <wp:effectExtent l="0" t="0" r="0" b="0"/>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77190" y="3441700"/>
                          <a:ext cx="4646295" cy="368935"/>
                        </a:xfrm>
                        <a:prstGeom prst="rect">
                          <a:avLst/>
                        </a:prstGeom>
                        <a:noFill/>
                        <a:ln>
                          <a:noFill/>
                        </a:ln>
                        <a:effectLst/>
                      </wps:spPr>
                      <wps:txbx>
                        <w:txbxContent>
                          <w:p w14:paraId="56B3AB2C" w14:textId="77777777" w:rsidR="007D03A1" w:rsidRDefault="007D03A1">
                            <w:pPr>
                              <w:pStyle w:val="1"/>
                              <w:numPr>
                                <w:ilvl w:val="0"/>
                                <w:numId w:val="2"/>
                              </w:numPr>
                              <w:overflowPunct w:val="0"/>
                              <w:ind w:firstLineChars="0"/>
                              <w:jc w:val="left"/>
                              <w:textAlignment w:val="baseline"/>
                              <w:rPr>
                                <w:sz w:val="36"/>
                                <w:szCs w:val="36"/>
                              </w:rPr>
                            </w:pPr>
                            <w:r>
                              <w:rPr>
                                <w:rFonts w:ascii="华文楷体" w:eastAsia="华文楷体" w:hAnsi="Arial Black"/>
                                <w:b/>
                                <w:color w:val="B2B2B2"/>
                                <w:kern w:val="24"/>
                                <w:sz w:val="36"/>
                                <w:szCs w:val="36"/>
                              </w:rPr>
                              <w:t>企业创新转型与变革管理的智力伙伴</w:t>
                            </w:r>
                          </w:p>
                        </w:txbxContent>
                      </wps:txbx>
                      <wps:bodyPr vert="horz" wrap="square" lIns="0" tIns="0" rIns="0" bIns="0" anchor="t">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4DFC5" id="Rectangle 17" o:spid="_x0000_s1028" style="position:absolute;margin-left:-69.3pt;margin-top:199pt;width:365.85pt;height:29.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" filled="f" stroked="f">
                <v:textbox style="mso-fit-shape-to-text:t" inset="0,0,0,0">
                  <w:txbxContent>
                    <w:p w14:paraId="56B3AB2C" w14:textId="77777777" w:rsidR="007D03A1" w:rsidRDefault="007D03A1">
                      <w:pPr>
                        <w:pStyle w:val="1"/>
                        <w:numPr>
                          <w:ilvl w:val="0"/>
                          <w:numId w:val="2"/>
                        </w:numPr>
                        <w:overflowPunct w:val="0"/>
                        <w:ind w:firstLineChars="0"/>
                        <w:jc w:val="left"/>
                        <w:textAlignment w:val="baseline"/>
                        <w:rPr>
                          <w:sz w:val="36"/>
                          <w:szCs w:val="36"/>
                        </w:rPr>
                      </w:pPr>
                      <w:r>
                        <w:rPr>
                          <w:rFonts w:ascii="华文楷体" w:eastAsia="华文楷体" w:hAnsi="Arial Black"/>
                          <w:b/>
                          <w:color w:val="B2B2B2"/>
                          <w:kern w:val="24"/>
                          <w:sz w:val="36"/>
                          <w:szCs w:val="36"/>
                        </w:rPr>
                        <w:t>企业创新转型与变革管理的智力伙伴</w:t>
                      </w:r>
                    </w:p>
                  </w:txbxContent>
                </v:textbox>
              </v:rect>
            </w:pict>
          </mc:Fallback>
        </mc:AlternateContent>
      </w:r>
      <w:r w:rsidR="009B2FB6">
        <w:rPr>
          <w:noProof/>
        </w:rPr>
        <w:drawing>
          <wp:anchor distT="0" distB="0" distL="114300" distR="114300" simplePos="0" relativeHeight="251784192" behindDoc="0" locked="0" layoutInCell="1" allowOverlap="1" wp14:anchorId="08AA3241" wp14:editId="045692B3">
            <wp:simplePos x="0" y="0"/>
            <wp:positionH relativeFrom="column">
              <wp:posOffset>4000500</wp:posOffset>
            </wp:positionH>
            <wp:positionV relativeFrom="paragraph">
              <wp:posOffset>8470900</wp:posOffset>
            </wp:positionV>
            <wp:extent cx="1699260" cy="581660"/>
            <wp:effectExtent l="0" t="0" r="2540" b="2540"/>
            <wp:wrapNone/>
            <wp:docPr id="44" name="图片 7" descr="/Users/tacter/Desktop/屏幕快照 2019-08-29 16.21.36.png屏幕快照 2019-08-29 16.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Users/tacter/Desktop/屏幕快照 2019-08-29 16.21.36.png屏幕快照 2019-08-29 16.21.36"/>
                    <pic:cNvPicPr>
                      <a:picLocks noChangeAspect="1"/>
                    </pic:cNvPicPr>
                  </pic:nvPicPr>
                  <pic:blipFill>
                    <a:blip r:embed="rId33">
                      <a:lum contrast="36000"/>
                    </a:blip>
                    <a:srcRect l="20" r="20"/>
                    <a:stretch>
                      <a:fillRect/>
                    </a:stretch>
                  </pic:blipFill>
                  <pic:spPr>
                    <a:xfrm>
                      <a:off x="0" y="0"/>
                      <a:ext cx="1699260" cy="581660"/>
                    </a:xfrm>
                    <a:prstGeom prst="rect">
                      <a:avLst/>
                    </a:prstGeom>
                    <a:noFill/>
                    <a:ln w="9525">
                      <a:noFill/>
                    </a:ln>
                  </pic:spPr>
                </pic:pic>
              </a:graphicData>
            </a:graphic>
          </wp:anchor>
        </w:drawing>
      </w:r>
      <w:r w:rsidR="009B2FB6">
        <w:rPr>
          <w:noProof/>
        </w:rPr>
        <w:drawing>
          <wp:anchor distT="0" distB="0" distL="114300" distR="114300" simplePos="0" relativeHeight="251787264" behindDoc="0" locked="0" layoutInCell="1" allowOverlap="1" wp14:anchorId="0846A184" wp14:editId="18AEF92E">
            <wp:simplePos x="0" y="0"/>
            <wp:positionH relativeFrom="column">
              <wp:posOffset>4075430</wp:posOffset>
            </wp:positionH>
            <wp:positionV relativeFrom="paragraph">
              <wp:posOffset>2781300</wp:posOffset>
            </wp:positionV>
            <wp:extent cx="1600200" cy="279400"/>
            <wp:effectExtent l="0" t="0" r="0" b="0"/>
            <wp:wrapNone/>
            <wp:docPr id="46" name="图片 5" descr="/Users/tacter/Desktop/logo/2019天强logo-白.png2019天强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Users/tacter/Desktop/logo/2019天强logo-白.png2019天强logo-白"/>
                    <pic:cNvPicPr>
                      <a:picLocks noChangeAspect="1"/>
                    </pic:cNvPicPr>
                  </pic:nvPicPr>
                  <pic:blipFill>
                    <a:blip r:embed="rId10">
                      <a:duotone>
                        <a:prstClr val="black"/>
                        <a:srgbClr val="8C8C8C">
                          <a:tint val="45000"/>
                          <a:satMod val="400000"/>
                        </a:srgbClr>
                      </a:duotone>
                    </a:blip>
                    <a:srcRect/>
                    <a:stretch>
                      <a:fillRect/>
                    </a:stretch>
                  </pic:blipFill>
                  <pic:spPr>
                    <a:xfrm>
                      <a:off x="0" y="0"/>
                      <a:ext cx="1589405" cy="272415"/>
                    </a:xfrm>
                    <a:prstGeom prst="rect">
                      <a:avLst/>
                    </a:prstGeom>
                    <a:noFill/>
                    <a:ln w="9525">
                      <a:noFill/>
                    </a:ln>
                    <a:effectLst/>
                  </pic:spPr>
                </pic:pic>
              </a:graphicData>
            </a:graphic>
          </wp:anchor>
        </w:drawing>
      </w:r>
    </w:p>
    <w:p w14:paraId="4239E4EB" w14:textId="77777777" w:rsidR="00F90D93" w:rsidRDefault="00086364">
      <w:r>
        <w:rPr>
          <w:noProof/>
        </w:rPr>
        <w:drawing>
          <wp:anchor distT="0" distB="0" distL="114300" distR="114300" simplePos="0" relativeHeight="251769856" behindDoc="0" locked="0" layoutInCell="1" allowOverlap="1" wp14:anchorId="0B9A2458" wp14:editId="3370F426">
            <wp:simplePos x="0" y="0"/>
            <wp:positionH relativeFrom="column">
              <wp:posOffset>-1126148</wp:posOffset>
            </wp:positionH>
            <wp:positionV relativeFrom="paragraph">
              <wp:posOffset>3503588</wp:posOffset>
            </wp:positionV>
            <wp:extent cx="7343775" cy="5765800"/>
            <wp:effectExtent l="0" t="0" r="22225" b="0"/>
            <wp:wrapNone/>
            <wp:docPr id="42" name="图片 3"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3333"/>
                    <pic:cNvPicPr>
                      <a:picLocks noChangeAspect="1"/>
                    </pic:cNvPicPr>
                  </pic:nvPicPr>
                  <pic:blipFill>
                    <a:blip r:embed="rId34"/>
                    <a:srcRect l="63" t="3857" r="11311" b="27524"/>
                    <a:stretch>
                      <a:fillRect/>
                    </a:stretch>
                  </pic:blipFill>
                  <pic:spPr>
                    <a:xfrm>
                      <a:off x="0" y="0"/>
                      <a:ext cx="7343775" cy="5765800"/>
                    </a:xfrm>
                    <a:prstGeom prst="rect">
                      <a:avLst/>
                    </a:prstGeom>
                    <a:noFill/>
                    <a:ln w="9525">
                      <a:noFill/>
                    </a:ln>
                  </pic:spPr>
                </pic:pic>
              </a:graphicData>
            </a:graphic>
          </wp:anchor>
        </w:drawing>
      </w:r>
    </w:p>
    <w:sectPr w:rsidR="00F90D93">
      <w:pgSz w:w="11906" w:h="16838"/>
      <w:pgMar w:top="1440" w:right="1646" w:bottom="1440" w:left="1980" w:header="779"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59DD7" w14:textId="77777777" w:rsidR="00521FE5" w:rsidRDefault="00521FE5">
      <w:r>
        <w:separator/>
      </w:r>
    </w:p>
  </w:endnote>
  <w:endnote w:type="continuationSeparator" w:id="0">
    <w:p w14:paraId="5B1932A2" w14:textId="77777777" w:rsidR="00521FE5" w:rsidRDefault="0052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jaVu Sans">
    <w:altName w:val="Ebrima"/>
    <w:charset w:val="00"/>
    <w:family w:val="roman"/>
    <w:pitch w:val="default"/>
    <w:sig w:usb0="20007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fixed"/>
    <w:sig w:usb0="00000003" w:usb1="080E0000" w:usb2="00000010" w:usb3="00000000" w:csb0="00040001" w:csb1="00000000"/>
  </w:font>
  <w:font w:name="Hiragino Sans GB W6">
    <w:altName w:val="Arial Unicode MS"/>
    <w:charset w:val="80"/>
    <w:family w:val="swiss"/>
    <w:pitch w:val="variable"/>
    <w:sig w:usb0="00000000" w:usb1="1ACF7CFA" w:usb2="00000016" w:usb3="00000000" w:csb0="00060007" w:csb1="00000000"/>
  </w:font>
  <w:font w:name="Hiragino Sans GB W3">
    <w:altName w:val="Arial Unicode MS"/>
    <w:charset w:val="80"/>
    <w:family w:val="swiss"/>
    <w:pitch w:val="variable"/>
    <w:sig w:usb0="00000000" w:usb1="1ACF7CFA" w:usb2="00000016" w:usb3="00000000" w:csb0="00060007"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79F32" w14:textId="77777777" w:rsidR="007D03A1" w:rsidRDefault="007D03A1">
    <w:pPr>
      <w:pStyle w:val="a3"/>
    </w:pPr>
    <w:r>
      <w:rPr>
        <w:noProof/>
      </w:rPr>
      <mc:AlternateContent>
        <mc:Choice Requires="wps">
          <w:drawing>
            <wp:anchor distT="0" distB="0" distL="114300" distR="114300" simplePos="0" relativeHeight="251667456" behindDoc="0" locked="0" layoutInCell="1" allowOverlap="1" wp14:anchorId="7CEAA75A" wp14:editId="51231E9B">
              <wp:simplePos x="0" y="0"/>
              <wp:positionH relativeFrom="margin">
                <wp:posOffset>-281354</wp:posOffset>
              </wp:positionH>
              <wp:positionV relativeFrom="paragraph">
                <wp:posOffset>-74588</wp:posOffset>
              </wp:positionV>
              <wp:extent cx="10287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28700" cy="1828800"/>
                      </a:xfrm>
                      <a:prstGeom prst="rect">
                        <a:avLst/>
                      </a:prstGeom>
                      <a:noFill/>
                      <a:ln w="6350">
                        <a:noFill/>
                      </a:ln>
                      <a:effectLst/>
                    </wps:spPr>
                    <wps:txbx>
                      <w:txbxContent>
                        <w:p w14:paraId="2384F350" w14:textId="7964B18F" w:rsidR="007D03A1" w:rsidRDefault="007D03A1">
                          <w:pPr>
                            <w:pStyle w:val="a3"/>
                            <w:ind w:firstLine="440"/>
                            <w:jc w:val="center"/>
                            <w:rPr>
                              <w:rFonts w:ascii="微软雅黑" w:eastAsia="微软雅黑" w:hAnsi="微软雅黑" w:cs="微软雅黑"/>
                              <w:b/>
                              <w:bCs/>
                              <w:color w:val="252525"/>
                            </w:rPr>
                          </w:pPr>
                          <w:r>
                            <w:rPr>
                              <w:rFonts w:ascii="微软雅黑" w:eastAsia="微软雅黑" w:hAnsi="微软雅黑" w:cs="微软雅黑" w:hint="eastAsia"/>
                              <w:b/>
                              <w:bCs/>
                              <w:color w:val="252525"/>
                              <w:lang w:val="zh-CN"/>
                            </w:rPr>
                            <w:t xml:space="preserve"> </w:t>
                          </w:r>
                          <w:r>
                            <w:rPr>
                              <w:rFonts w:ascii="微软雅黑" w:eastAsia="微软雅黑" w:hAnsi="微软雅黑" w:cs="微软雅黑" w:hint="eastAsia"/>
                              <w:b/>
                              <w:bCs/>
                              <w:color w:val="252525"/>
                              <w:sz w:val="24"/>
                            </w:rPr>
                            <w:fldChar w:fldCharType="begin"/>
                          </w:r>
                          <w:r>
                            <w:rPr>
                              <w:rFonts w:ascii="微软雅黑" w:eastAsia="微软雅黑" w:hAnsi="微软雅黑" w:cs="微软雅黑" w:hint="eastAsia"/>
                              <w:b/>
                              <w:bCs/>
                              <w:color w:val="252525"/>
                            </w:rPr>
                            <w:instrText>PAGE</w:instrText>
                          </w:r>
                          <w:r>
                            <w:rPr>
                              <w:rFonts w:ascii="微软雅黑" w:eastAsia="微软雅黑" w:hAnsi="微软雅黑" w:cs="微软雅黑" w:hint="eastAsia"/>
                              <w:b/>
                              <w:bCs/>
                              <w:color w:val="252525"/>
                              <w:sz w:val="24"/>
                            </w:rPr>
                            <w:fldChar w:fldCharType="separate"/>
                          </w:r>
                          <w:r w:rsidR="00BF0A16">
                            <w:rPr>
                              <w:rFonts w:ascii="微软雅黑" w:eastAsia="微软雅黑" w:hAnsi="微软雅黑" w:cs="微软雅黑"/>
                              <w:b/>
                              <w:bCs/>
                              <w:noProof/>
                              <w:color w:val="252525"/>
                            </w:rPr>
                            <w:t>19</w:t>
                          </w:r>
                          <w:r>
                            <w:rPr>
                              <w:rFonts w:ascii="微软雅黑" w:eastAsia="微软雅黑" w:hAnsi="微软雅黑" w:cs="微软雅黑" w:hint="eastAsia"/>
                              <w:b/>
                              <w:bCs/>
                              <w:color w:val="252525"/>
                              <w:sz w:val="24"/>
                            </w:rPr>
                            <w:fldChar w:fldCharType="end"/>
                          </w:r>
                          <w:r>
                            <w:rPr>
                              <w:rFonts w:ascii="微软雅黑" w:eastAsia="微软雅黑" w:hAnsi="微软雅黑" w:cs="微软雅黑" w:hint="eastAsia"/>
                              <w:b/>
                              <w:bCs/>
                              <w:color w:val="252525"/>
                              <w:lang w:val="zh-CN"/>
                            </w:rPr>
                            <w:t xml:space="preserve"> / </w:t>
                          </w:r>
                          <w:r>
                            <w:rPr>
                              <w:rFonts w:ascii="微软雅黑" w:eastAsia="微软雅黑" w:hAnsi="微软雅黑" w:cs="微软雅黑" w:hint="eastAsia"/>
                              <w:b/>
                              <w:bCs/>
                              <w:color w:val="252525"/>
                              <w:lang w:val="zh-CN"/>
                            </w:rPr>
                            <w:fldChar w:fldCharType="begin"/>
                          </w:r>
                          <w:r>
                            <w:rPr>
                              <w:rFonts w:ascii="微软雅黑" w:eastAsia="微软雅黑" w:hAnsi="微软雅黑" w:cs="微软雅黑" w:hint="eastAsia"/>
                              <w:b/>
                              <w:bCs/>
                              <w:color w:val="252525"/>
                              <w:lang w:val="zh-CN"/>
                            </w:rPr>
                            <w:instrText xml:space="preserve"> NUMPAGES </w:instrText>
                          </w:r>
                          <w:r>
                            <w:rPr>
                              <w:rFonts w:ascii="微软雅黑" w:eastAsia="微软雅黑" w:hAnsi="微软雅黑" w:cs="微软雅黑" w:hint="eastAsia"/>
                              <w:b/>
                              <w:bCs/>
                              <w:color w:val="252525"/>
                              <w:lang w:val="zh-CN"/>
                            </w:rPr>
                            <w:fldChar w:fldCharType="separate"/>
                          </w:r>
                          <w:r w:rsidR="00BF0A16">
                            <w:rPr>
                              <w:rFonts w:ascii="微软雅黑" w:eastAsia="微软雅黑" w:hAnsi="微软雅黑" w:cs="微软雅黑"/>
                              <w:b/>
                              <w:bCs/>
                              <w:noProof/>
                              <w:color w:val="252525"/>
                              <w:lang w:val="zh-CN"/>
                            </w:rPr>
                            <w:t>24</w:t>
                          </w:r>
                          <w:r>
                            <w:rPr>
                              <w:rFonts w:ascii="微软雅黑" w:eastAsia="微软雅黑" w:hAnsi="微软雅黑" w:cs="微软雅黑" w:hint="eastAsia"/>
                              <w:b/>
                              <w:bCs/>
                              <w:color w:val="252525"/>
                              <w:lang w:val="zh-C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CEAA75A" id="_x0000_t202" coordsize="21600,21600" o:spt="202" path="m,l,21600r21600,l21600,xe">
              <v:stroke joinstyle="miter"/>
              <v:path gradientshapeok="t" o:connecttype="rect"/>
            </v:shapetype>
            <v:shape id="文本框 4" o:spid="_x0000_s1030" type="#_x0000_t202" style="position:absolute;margin-left:-22.15pt;margin-top:-5.85pt;width:81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" filled="f" stroked="f" strokeweight=".5pt">
              <v:textbox style="mso-fit-shape-to-text:t" inset="0,0,0,0">
                <w:txbxContent>
                  <w:p w14:paraId="2384F350" w14:textId="7964B18F" w:rsidR="007D03A1" w:rsidRDefault="007D03A1">
                    <w:pPr>
                      <w:pStyle w:val="a3"/>
                      <w:ind w:firstLine="440"/>
                      <w:jc w:val="center"/>
                      <w:rPr>
                        <w:rFonts w:ascii="微软雅黑" w:eastAsia="微软雅黑" w:hAnsi="微软雅黑" w:cs="微软雅黑"/>
                        <w:b/>
                        <w:bCs/>
                        <w:color w:val="252525"/>
                      </w:rPr>
                    </w:pPr>
                    <w:r>
                      <w:rPr>
                        <w:rFonts w:ascii="微软雅黑" w:eastAsia="微软雅黑" w:hAnsi="微软雅黑" w:cs="微软雅黑" w:hint="eastAsia"/>
                        <w:b/>
                        <w:bCs/>
                        <w:color w:val="252525"/>
                        <w:lang w:val="zh-CN"/>
                      </w:rPr>
                      <w:t xml:space="preserve"> </w:t>
                    </w:r>
                    <w:r>
                      <w:rPr>
                        <w:rFonts w:ascii="微软雅黑" w:eastAsia="微软雅黑" w:hAnsi="微软雅黑" w:cs="微软雅黑" w:hint="eastAsia"/>
                        <w:b/>
                        <w:bCs/>
                        <w:color w:val="252525"/>
                        <w:sz w:val="24"/>
                      </w:rPr>
                      <w:fldChar w:fldCharType="begin"/>
                    </w:r>
                    <w:r>
                      <w:rPr>
                        <w:rFonts w:ascii="微软雅黑" w:eastAsia="微软雅黑" w:hAnsi="微软雅黑" w:cs="微软雅黑" w:hint="eastAsia"/>
                        <w:b/>
                        <w:bCs/>
                        <w:color w:val="252525"/>
                      </w:rPr>
                      <w:instrText>PAGE</w:instrText>
                    </w:r>
                    <w:r>
                      <w:rPr>
                        <w:rFonts w:ascii="微软雅黑" w:eastAsia="微软雅黑" w:hAnsi="微软雅黑" w:cs="微软雅黑" w:hint="eastAsia"/>
                        <w:b/>
                        <w:bCs/>
                        <w:color w:val="252525"/>
                        <w:sz w:val="24"/>
                      </w:rPr>
                      <w:fldChar w:fldCharType="separate"/>
                    </w:r>
                    <w:r w:rsidR="00BF0A16">
                      <w:rPr>
                        <w:rFonts w:ascii="微软雅黑" w:eastAsia="微软雅黑" w:hAnsi="微软雅黑" w:cs="微软雅黑"/>
                        <w:b/>
                        <w:bCs/>
                        <w:noProof/>
                        <w:color w:val="252525"/>
                      </w:rPr>
                      <w:t>19</w:t>
                    </w:r>
                    <w:r>
                      <w:rPr>
                        <w:rFonts w:ascii="微软雅黑" w:eastAsia="微软雅黑" w:hAnsi="微软雅黑" w:cs="微软雅黑" w:hint="eastAsia"/>
                        <w:b/>
                        <w:bCs/>
                        <w:color w:val="252525"/>
                        <w:sz w:val="24"/>
                      </w:rPr>
                      <w:fldChar w:fldCharType="end"/>
                    </w:r>
                    <w:r>
                      <w:rPr>
                        <w:rFonts w:ascii="微软雅黑" w:eastAsia="微软雅黑" w:hAnsi="微软雅黑" w:cs="微软雅黑" w:hint="eastAsia"/>
                        <w:b/>
                        <w:bCs/>
                        <w:color w:val="252525"/>
                        <w:lang w:val="zh-CN"/>
                      </w:rPr>
                      <w:t xml:space="preserve"> / </w:t>
                    </w:r>
                    <w:r>
                      <w:rPr>
                        <w:rFonts w:ascii="微软雅黑" w:eastAsia="微软雅黑" w:hAnsi="微软雅黑" w:cs="微软雅黑" w:hint="eastAsia"/>
                        <w:b/>
                        <w:bCs/>
                        <w:color w:val="252525"/>
                        <w:lang w:val="zh-CN"/>
                      </w:rPr>
                      <w:fldChar w:fldCharType="begin"/>
                    </w:r>
                    <w:r>
                      <w:rPr>
                        <w:rFonts w:ascii="微软雅黑" w:eastAsia="微软雅黑" w:hAnsi="微软雅黑" w:cs="微软雅黑" w:hint="eastAsia"/>
                        <w:b/>
                        <w:bCs/>
                        <w:color w:val="252525"/>
                        <w:lang w:val="zh-CN"/>
                      </w:rPr>
                      <w:instrText xml:space="preserve"> NUMPAGES </w:instrText>
                    </w:r>
                    <w:r>
                      <w:rPr>
                        <w:rFonts w:ascii="微软雅黑" w:eastAsia="微软雅黑" w:hAnsi="微软雅黑" w:cs="微软雅黑" w:hint="eastAsia"/>
                        <w:b/>
                        <w:bCs/>
                        <w:color w:val="252525"/>
                        <w:lang w:val="zh-CN"/>
                      </w:rPr>
                      <w:fldChar w:fldCharType="separate"/>
                    </w:r>
                    <w:r w:rsidR="00BF0A16">
                      <w:rPr>
                        <w:rFonts w:ascii="微软雅黑" w:eastAsia="微软雅黑" w:hAnsi="微软雅黑" w:cs="微软雅黑"/>
                        <w:b/>
                        <w:bCs/>
                        <w:noProof/>
                        <w:color w:val="252525"/>
                        <w:lang w:val="zh-CN"/>
                      </w:rPr>
                      <w:t>24</w:t>
                    </w:r>
                    <w:r>
                      <w:rPr>
                        <w:rFonts w:ascii="微软雅黑" w:eastAsia="微软雅黑" w:hAnsi="微软雅黑" w:cs="微软雅黑" w:hint="eastAsia"/>
                        <w:b/>
                        <w:bCs/>
                        <w:color w:val="252525"/>
                        <w:lang w:val="zh-CN"/>
                      </w:rPr>
                      <w:fldChar w:fldCharType="end"/>
                    </w:r>
                  </w:p>
                </w:txbxContent>
              </v:textbox>
              <w10:wrap anchorx="margin"/>
            </v:shape>
          </w:pict>
        </mc:Fallback>
      </mc:AlternateContent>
    </w:r>
    <w:r>
      <w:rPr>
        <w:noProof/>
      </w:rPr>
      <w:drawing>
        <wp:anchor distT="0" distB="0" distL="114300" distR="114300" simplePos="0" relativeHeight="251665408" behindDoc="1" locked="0" layoutInCell="1" allowOverlap="1" wp14:anchorId="4B5A0FE0" wp14:editId="591FEFF9">
          <wp:simplePos x="0" y="0"/>
          <wp:positionH relativeFrom="column">
            <wp:posOffset>3044190</wp:posOffset>
          </wp:positionH>
          <wp:positionV relativeFrom="paragraph">
            <wp:posOffset>43180</wp:posOffset>
          </wp:positionV>
          <wp:extent cx="2321560" cy="479425"/>
          <wp:effectExtent l="0" t="0" r="15240" b="3175"/>
          <wp:wrapNone/>
          <wp:docPr id="5" name="图片 12" descr="/Users/tacter/Documents/公司设计稿件/企业VI/天强/2019品牌升级/2019公司VI/电子类/2019天强页脚2.jpg2019天强页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Users/tacter/Documents/公司设计稿件/企业VI/天强/2019品牌升级/2019公司VI/电子类/2019天强页脚2.jpg2019天强页脚2"/>
                  <pic:cNvPicPr>
                    <a:picLocks noChangeAspect="1"/>
                  </pic:cNvPicPr>
                </pic:nvPicPr>
                <pic:blipFill>
                  <a:blip r:embed="rId1"/>
                  <a:stretch>
                    <a:fillRect/>
                  </a:stretch>
                </pic:blipFill>
                <pic:spPr>
                  <a:xfrm>
                    <a:off x="0" y="0"/>
                    <a:ext cx="2321560" cy="479425"/>
                  </a:xfrm>
                  <a:prstGeom prst="rect">
                    <a:avLst/>
                  </a:prstGeom>
                  <a:noFill/>
                  <a:ln w="9525">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6496B" w14:textId="77777777" w:rsidR="00521FE5" w:rsidRDefault="00521FE5">
      <w:r>
        <w:separator/>
      </w:r>
    </w:p>
  </w:footnote>
  <w:footnote w:type="continuationSeparator" w:id="0">
    <w:p w14:paraId="3610E428" w14:textId="77777777" w:rsidR="00521FE5" w:rsidRDefault="00521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66B2A" w14:textId="12C3F122" w:rsidR="007D03A1" w:rsidRPr="00095C1F" w:rsidRDefault="007D03A1" w:rsidP="00095C1F">
    <w:pPr>
      <w:pStyle w:val="a4"/>
      <w:pBdr>
        <w:bottom w:val="single" w:sz="6" w:space="0" w:color="auto"/>
      </w:pBdr>
      <w:jc w:val="left"/>
      <w:rPr>
        <w:rFonts w:ascii="微软雅黑" w:hAnsi="微软雅黑"/>
        <w:sz w:val="21"/>
        <w:szCs w:val="21"/>
      </w:rPr>
    </w:pPr>
    <w:r>
      <w:rPr>
        <w:noProof/>
      </w:rPr>
      <mc:AlternateContent>
        <mc:Choice Requires="wps">
          <w:drawing>
            <wp:anchor distT="0" distB="0" distL="114300" distR="114300" simplePos="0" relativeHeight="251663360" behindDoc="0" locked="0" layoutInCell="1" allowOverlap="1" wp14:anchorId="3C1BE2FA" wp14:editId="14DF5921">
              <wp:simplePos x="0" y="0"/>
              <wp:positionH relativeFrom="column">
                <wp:posOffset>1872859</wp:posOffset>
              </wp:positionH>
              <wp:positionV relativeFrom="paragraph">
                <wp:posOffset>-43082</wp:posOffset>
              </wp:positionV>
              <wp:extent cx="3340100" cy="4191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340100" cy="419100"/>
                      </a:xfrm>
                      <a:prstGeom prst="rect">
                        <a:avLst/>
                      </a:prstGeom>
                      <a:noFill/>
                      <a:ln w="6350">
                        <a:noFill/>
                      </a:ln>
                    </wps:spPr>
                    <wps:txbx>
                      <w:txbxContent>
                        <w:p w14:paraId="295A6EB2" w14:textId="5DB2B83B" w:rsidR="007D03A1" w:rsidRDefault="007D03A1">
                          <w:pPr>
                            <w:jc w:val="right"/>
                            <w:rPr>
                              <w:rFonts w:ascii="微软雅黑" w:eastAsia="微软雅黑" w:hAnsi="微软雅黑" w:cs="微软雅黑"/>
                              <w:color w:val="A5A5A5"/>
                              <w:sz w:val="18"/>
                              <w:szCs w:val="18"/>
                            </w:rPr>
                          </w:pPr>
                          <w:r>
                            <w:rPr>
                              <w:rFonts w:ascii="微软雅黑" w:eastAsia="微软雅黑" w:hAnsi="微软雅黑" w:cs="微软雅黑" w:hint="eastAsia"/>
                              <w:color w:val="A5A5A5"/>
                              <w:sz w:val="18"/>
                              <w:szCs w:val="18"/>
                            </w:rPr>
                            <w:t>陕西</w:t>
                          </w:r>
                          <w:r w:rsidRPr="002C374A">
                            <w:rPr>
                              <w:rFonts w:ascii="微软雅黑" w:eastAsia="微软雅黑" w:hAnsi="微软雅黑" w:cs="微软雅黑" w:hint="eastAsia"/>
                              <w:color w:val="A5A5A5"/>
                              <w:sz w:val="18"/>
                              <w:szCs w:val="18"/>
                            </w:rPr>
                            <w:t>省工程勘察设计企业受疫情影响调研报告</w:t>
                          </w:r>
                        </w:p>
                      </w:txbxContent>
                    </wps:txbx>
                    <wps:bodyPr upright="1"/>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1BE2FA" id="_x0000_t202" coordsize="21600,21600" o:spt="202" path="m,l,21600r21600,l21600,xe">
              <v:stroke joinstyle="miter"/>
              <v:path gradientshapeok="t" o:connecttype="rect"/>
            </v:shapetype>
            <v:shape id="文本框 3" o:spid="_x0000_s1029" type="#_x0000_t202" style="position:absolute;margin-left:147.45pt;margin-top:-3.4pt;width:263pt;height:3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" filled="f" stroked="f" strokeweight=".5pt">
              <v:textbox>
                <w:txbxContent>
                  <w:p w14:paraId="295A6EB2" w14:textId="5DB2B83B" w:rsidR="007D03A1" w:rsidRDefault="007D03A1">
                    <w:pPr>
                      <w:jc w:val="right"/>
                      <w:rPr>
                        <w:rFonts w:ascii="微软雅黑" w:eastAsia="微软雅黑" w:hAnsi="微软雅黑" w:cs="微软雅黑"/>
                        <w:color w:val="A5A5A5"/>
                        <w:sz w:val="18"/>
                        <w:szCs w:val="18"/>
                      </w:rPr>
                    </w:pPr>
                    <w:r>
                      <w:rPr>
                        <w:rFonts w:ascii="微软雅黑" w:eastAsia="微软雅黑" w:hAnsi="微软雅黑" w:cs="微软雅黑" w:hint="eastAsia"/>
                        <w:color w:val="A5A5A5"/>
                        <w:sz w:val="18"/>
                        <w:szCs w:val="18"/>
                      </w:rPr>
                      <w:t>陕西</w:t>
                    </w:r>
                    <w:r w:rsidRPr="002C374A">
                      <w:rPr>
                        <w:rFonts w:ascii="微软雅黑" w:eastAsia="微软雅黑" w:hAnsi="微软雅黑" w:cs="微软雅黑" w:hint="eastAsia"/>
                        <w:color w:val="A5A5A5"/>
                        <w:sz w:val="18"/>
                        <w:szCs w:val="18"/>
                      </w:rPr>
                      <w:t>省工程勘察设计企业受疫情影响调研报告</w:t>
                    </w:r>
                  </w:p>
                </w:txbxContent>
              </v:textbox>
            </v:shape>
          </w:pict>
        </mc:Fallback>
      </mc:AlternateContent>
    </w:r>
    <w:r>
      <w:rPr>
        <w:noProof/>
      </w:rPr>
      <w:drawing>
        <wp:anchor distT="0" distB="0" distL="114300" distR="114300" simplePos="0" relativeHeight="251660288" behindDoc="1" locked="1" layoutInCell="1" allowOverlap="0" wp14:anchorId="576B0554" wp14:editId="6F8DB9AF">
          <wp:simplePos x="0" y="0"/>
          <wp:positionH relativeFrom="column">
            <wp:posOffset>2540</wp:posOffset>
          </wp:positionH>
          <wp:positionV relativeFrom="page">
            <wp:posOffset>420370</wp:posOffset>
          </wp:positionV>
          <wp:extent cx="1362710" cy="233680"/>
          <wp:effectExtent l="0" t="0" r="8890" b="20320"/>
          <wp:wrapNone/>
          <wp:docPr id="1" name="图片 1" descr="/Users/tacter/Desktop/2019天强logo-浅灰.jpg2019天强logo-浅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tacter/Desktop/2019天强logo-浅灰.jpg2019天强logo-浅灰"/>
                  <pic:cNvPicPr>
                    <a:picLocks noChangeAspect="1"/>
                  </pic:cNvPicPr>
                </pic:nvPicPr>
                <pic:blipFill>
                  <a:blip r:embed="rId1">
                    <a:clrChange>
                      <a:clrFrom>
                        <a:srgbClr val="000000"/>
                      </a:clrFrom>
                      <a:clrTo>
                        <a:srgbClr val="000000">
                          <a:alpha val="0"/>
                        </a:srgbClr>
                      </a:clrTo>
                    </a:clrChange>
                  </a:blip>
                  <a:stretch>
                    <a:fillRect/>
                  </a:stretch>
                </pic:blipFill>
                <pic:spPr>
                  <a:xfrm>
                    <a:off x="0" y="0"/>
                    <a:ext cx="1362710" cy="233680"/>
                  </a:xfrm>
                  <a:prstGeom prst="rect">
                    <a:avLst/>
                  </a:prstGeom>
                  <a:noFill/>
                  <a:ln w="9525">
                    <a:noFill/>
                  </a:ln>
                </pic:spPr>
              </pic:pic>
            </a:graphicData>
          </a:graphic>
        </wp:anchor>
      </w:drawing>
    </w:r>
    <w:r>
      <w:rPr>
        <w:noProof/>
      </w:rPr>
      <w:drawing>
        <wp:anchor distT="0" distB="0" distL="114300" distR="114300" simplePos="0" relativeHeight="251658240" behindDoc="1" locked="0" layoutInCell="1" allowOverlap="1" wp14:anchorId="1B680975" wp14:editId="49B2A15E">
          <wp:simplePos x="0" y="0"/>
          <wp:positionH relativeFrom="column">
            <wp:posOffset>-1257300</wp:posOffset>
          </wp:positionH>
          <wp:positionV relativeFrom="paragraph">
            <wp:posOffset>4395470</wp:posOffset>
          </wp:positionV>
          <wp:extent cx="4936490" cy="5550535"/>
          <wp:effectExtent l="0" t="0" r="16510" b="12065"/>
          <wp:wrapNone/>
          <wp:docPr id="2" name="图片 11" descr="2019天强页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2019天强页脚1"/>
                  <pic:cNvPicPr>
                    <a:picLocks noChangeAspect="1"/>
                  </pic:cNvPicPr>
                </pic:nvPicPr>
                <pic:blipFill>
                  <a:blip r:embed="rId2"/>
                  <a:stretch>
                    <a:fillRect/>
                  </a:stretch>
                </pic:blipFill>
                <pic:spPr>
                  <a:xfrm>
                    <a:off x="0" y="0"/>
                    <a:ext cx="4936490" cy="555053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A6E70"/>
    <w:multiLevelType w:val="hybridMultilevel"/>
    <w:tmpl w:val="1CDC6BB4"/>
    <w:lvl w:ilvl="0" w:tplc="2FDEAC60">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7FB3BFA"/>
    <w:multiLevelType w:val="hybridMultilevel"/>
    <w:tmpl w:val="482AD17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57CC6862"/>
    <w:multiLevelType w:val="hybridMultilevel"/>
    <w:tmpl w:val="9E8C0BF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5D818FF3"/>
    <w:multiLevelType w:val="multilevel"/>
    <w:tmpl w:val="5D818FF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D819BA1"/>
    <w:multiLevelType w:val="multilevel"/>
    <w:tmpl w:val="5D819BA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A4536CD"/>
    <w:multiLevelType w:val="hybridMultilevel"/>
    <w:tmpl w:val="1A78D58E"/>
    <w:lvl w:ilvl="0" w:tplc="5DAE5B7E">
      <w:start w:val="1"/>
      <w:numFmt w:val="bullet"/>
      <w:lvlText w:val="l"/>
      <w:lvlJc w:val="left"/>
      <w:pPr>
        <w:tabs>
          <w:tab w:val="num" w:pos="720"/>
        </w:tabs>
        <w:ind w:left="720" w:hanging="360"/>
      </w:pPr>
      <w:rPr>
        <w:rFonts w:ascii="Wingdings" w:hAnsi="Wingdings" w:hint="default"/>
      </w:rPr>
    </w:lvl>
    <w:lvl w:ilvl="1" w:tplc="768695F0" w:tentative="1">
      <w:start w:val="1"/>
      <w:numFmt w:val="bullet"/>
      <w:lvlText w:val="l"/>
      <w:lvlJc w:val="left"/>
      <w:pPr>
        <w:tabs>
          <w:tab w:val="num" w:pos="1440"/>
        </w:tabs>
        <w:ind w:left="1440" w:hanging="360"/>
      </w:pPr>
      <w:rPr>
        <w:rFonts w:ascii="Wingdings" w:hAnsi="Wingdings" w:hint="default"/>
      </w:rPr>
    </w:lvl>
    <w:lvl w:ilvl="2" w:tplc="AEF22960" w:tentative="1">
      <w:start w:val="1"/>
      <w:numFmt w:val="bullet"/>
      <w:lvlText w:val="l"/>
      <w:lvlJc w:val="left"/>
      <w:pPr>
        <w:tabs>
          <w:tab w:val="num" w:pos="2160"/>
        </w:tabs>
        <w:ind w:left="2160" w:hanging="360"/>
      </w:pPr>
      <w:rPr>
        <w:rFonts w:ascii="Wingdings" w:hAnsi="Wingdings" w:hint="default"/>
      </w:rPr>
    </w:lvl>
    <w:lvl w:ilvl="3" w:tplc="90AC9F82" w:tentative="1">
      <w:start w:val="1"/>
      <w:numFmt w:val="bullet"/>
      <w:lvlText w:val="l"/>
      <w:lvlJc w:val="left"/>
      <w:pPr>
        <w:tabs>
          <w:tab w:val="num" w:pos="2880"/>
        </w:tabs>
        <w:ind w:left="2880" w:hanging="360"/>
      </w:pPr>
      <w:rPr>
        <w:rFonts w:ascii="Wingdings" w:hAnsi="Wingdings" w:hint="default"/>
      </w:rPr>
    </w:lvl>
    <w:lvl w:ilvl="4" w:tplc="EC6EDD0C" w:tentative="1">
      <w:start w:val="1"/>
      <w:numFmt w:val="bullet"/>
      <w:lvlText w:val="l"/>
      <w:lvlJc w:val="left"/>
      <w:pPr>
        <w:tabs>
          <w:tab w:val="num" w:pos="3600"/>
        </w:tabs>
        <w:ind w:left="3600" w:hanging="360"/>
      </w:pPr>
      <w:rPr>
        <w:rFonts w:ascii="Wingdings" w:hAnsi="Wingdings" w:hint="default"/>
      </w:rPr>
    </w:lvl>
    <w:lvl w:ilvl="5" w:tplc="AC84C230" w:tentative="1">
      <w:start w:val="1"/>
      <w:numFmt w:val="bullet"/>
      <w:lvlText w:val="l"/>
      <w:lvlJc w:val="left"/>
      <w:pPr>
        <w:tabs>
          <w:tab w:val="num" w:pos="4320"/>
        </w:tabs>
        <w:ind w:left="4320" w:hanging="360"/>
      </w:pPr>
      <w:rPr>
        <w:rFonts w:ascii="Wingdings" w:hAnsi="Wingdings" w:hint="default"/>
      </w:rPr>
    </w:lvl>
    <w:lvl w:ilvl="6" w:tplc="50D20AB4" w:tentative="1">
      <w:start w:val="1"/>
      <w:numFmt w:val="bullet"/>
      <w:lvlText w:val="l"/>
      <w:lvlJc w:val="left"/>
      <w:pPr>
        <w:tabs>
          <w:tab w:val="num" w:pos="5040"/>
        </w:tabs>
        <w:ind w:left="5040" w:hanging="360"/>
      </w:pPr>
      <w:rPr>
        <w:rFonts w:ascii="Wingdings" w:hAnsi="Wingdings" w:hint="default"/>
      </w:rPr>
    </w:lvl>
    <w:lvl w:ilvl="7" w:tplc="F38A7DAC" w:tentative="1">
      <w:start w:val="1"/>
      <w:numFmt w:val="bullet"/>
      <w:lvlText w:val="l"/>
      <w:lvlJc w:val="left"/>
      <w:pPr>
        <w:tabs>
          <w:tab w:val="num" w:pos="5760"/>
        </w:tabs>
        <w:ind w:left="5760" w:hanging="360"/>
      </w:pPr>
      <w:rPr>
        <w:rFonts w:ascii="Wingdings" w:hAnsi="Wingdings" w:hint="default"/>
      </w:rPr>
    </w:lvl>
    <w:lvl w:ilvl="8" w:tplc="C526D9A0" w:tentative="1">
      <w:start w:val="1"/>
      <w:numFmt w:val="bullet"/>
      <w:lvlText w:val="l"/>
      <w:lvlJc w:val="left"/>
      <w:pPr>
        <w:tabs>
          <w:tab w:val="num" w:pos="6480"/>
        </w:tabs>
        <w:ind w:left="6480" w:hanging="360"/>
      </w:pPr>
      <w:rPr>
        <w:rFonts w:ascii="Wingdings" w:hAnsi="Wingdings" w:hint="default"/>
      </w:rPr>
    </w:lvl>
  </w:abstractNum>
  <w:abstractNum w:abstractNumId="6">
    <w:nsid w:val="71E00120"/>
    <w:multiLevelType w:val="hybridMultilevel"/>
    <w:tmpl w:val="B5621E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BFF75537"/>
    <w:rsid w:val="7BD391C1"/>
    <w:rsid w:val="BFF75537"/>
    <w:rsid w:val="00001A92"/>
    <w:rsid w:val="00003EE1"/>
    <w:rsid w:val="00003FF5"/>
    <w:rsid w:val="00004801"/>
    <w:rsid w:val="00007C72"/>
    <w:rsid w:val="000125B4"/>
    <w:rsid w:val="00017F37"/>
    <w:rsid w:val="000242B1"/>
    <w:rsid w:val="00032ACE"/>
    <w:rsid w:val="00034BEC"/>
    <w:rsid w:val="000551A9"/>
    <w:rsid w:val="000656B1"/>
    <w:rsid w:val="0007174E"/>
    <w:rsid w:val="00076F81"/>
    <w:rsid w:val="0008386E"/>
    <w:rsid w:val="00084988"/>
    <w:rsid w:val="00086364"/>
    <w:rsid w:val="00095586"/>
    <w:rsid w:val="00095C1F"/>
    <w:rsid w:val="000A5DD9"/>
    <w:rsid w:val="000B7C70"/>
    <w:rsid w:val="000C203D"/>
    <w:rsid w:val="000D5827"/>
    <w:rsid w:val="000D6806"/>
    <w:rsid w:val="000D73A6"/>
    <w:rsid w:val="000E3136"/>
    <w:rsid w:val="000E32AD"/>
    <w:rsid w:val="000E5784"/>
    <w:rsid w:val="000F155E"/>
    <w:rsid w:val="00131FF8"/>
    <w:rsid w:val="001355EE"/>
    <w:rsid w:val="001356BA"/>
    <w:rsid w:val="00136CD4"/>
    <w:rsid w:val="00146D1C"/>
    <w:rsid w:val="001474B3"/>
    <w:rsid w:val="00181EAD"/>
    <w:rsid w:val="00194D9C"/>
    <w:rsid w:val="001A4058"/>
    <w:rsid w:val="001A57B8"/>
    <w:rsid w:val="001A65C3"/>
    <w:rsid w:val="001C068F"/>
    <w:rsid w:val="001C17DC"/>
    <w:rsid w:val="001C7E7F"/>
    <w:rsid w:val="001D1508"/>
    <w:rsid w:val="001D1AE6"/>
    <w:rsid w:val="001E2EAE"/>
    <w:rsid w:val="001E4373"/>
    <w:rsid w:val="001E6ABA"/>
    <w:rsid w:val="001F3D48"/>
    <w:rsid w:val="00207793"/>
    <w:rsid w:val="00211181"/>
    <w:rsid w:val="002246D5"/>
    <w:rsid w:val="00230035"/>
    <w:rsid w:val="00232C69"/>
    <w:rsid w:val="00234B6D"/>
    <w:rsid w:val="00235ABC"/>
    <w:rsid w:val="0023743A"/>
    <w:rsid w:val="00240DC6"/>
    <w:rsid w:val="002437A1"/>
    <w:rsid w:val="00243E15"/>
    <w:rsid w:val="00252203"/>
    <w:rsid w:val="00256D6E"/>
    <w:rsid w:val="002572F2"/>
    <w:rsid w:val="00265A77"/>
    <w:rsid w:val="00267964"/>
    <w:rsid w:val="00276113"/>
    <w:rsid w:val="002824EC"/>
    <w:rsid w:val="0029768E"/>
    <w:rsid w:val="002A7508"/>
    <w:rsid w:val="002B2047"/>
    <w:rsid w:val="002C374A"/>
    <w:rsid w:val="002D66C7"/>
    <w:rsid w:val="002E7C87"/>
    <w:rsid w:val="002F1FD5"/>
    <w:rsid w:val="002F50FA"/>
    <w:rsid w:val="002F536C"/>
    <w:rsid w:val="003030CB"/>
    <w:rsid w:val="0030755A"/>
    <w:rsid w:val="00324EDA"/>
    <w:rsid w:val="003253C6"/>
    <w:rsid w:val="00325FA2"/>
    <w:rsid w:val="0033317B"/>
    <w:rsid w:val="00334778"/>
    <w:rsid w:val="00340866"/>
    <w:rsid w:val="00341230"/>
    <w:rsid w:val="00343F19"/>
    <w:rsid w:val="0035354D"/>
    <w:rsid w:val="0036059F"/>
    <w:rsid w:val="00361D2B"/>
    <w:rsid w:val="00367823"/>
    <w:rsid w:val="00374DC1"/>
    <w:rsid w:val="00385EF1"/>
    <w:rsid w:val="003965E9"/>
    <w:rsid w:val="003A3D9D"/>
    <w:rsid w:val="003B01CE"/>
    <w:rsid w:val="003B0F86"/>
    <w:rsid w:val="003D0241"/>
    <w:rsid w:val="003D5A25"/>
    <w:rsid w:val="003D71D7"/>
    <w:rsid w:val="003E2937"/>
    <w:rsid w:val="003E6D50"/>
    <w:rsid w:val="00405F43"/>
    <w:rsid w:val="00406D26"/>
    <w:rsid w:val="004075ED"/>
    <w:rsid w:val="00425EC3"/>
    <w:rsid w:val="00430A42"/>
    <w:rsid w:val="004425F0"/>
    <w:rsid w:val="00446B88"/>
    <w:rsid w:val="00450DCA"/>
    <w:rsid w:val="0045569B"/>
    <w:rsid w:val="0045681A"/>
    <w:rsid w:val="00456F6C"/>
    <w:rsid w:val="0046010F"/>
    <w:rsid w:val="0046142D"/>
    <w:rsid w:val="0046191E"/>
    <w:rsid w:val="0048015B"/>
    <w:rsid w:val="00492419"/>
    <w:rsid w:val="0049341B"/>
    <w:rsid w:val="00495CC3"/>
    <w:rsid w:val="004A758D"/>
    <w:rsid w:val="004B0619"/>
    <w:rsid w:val="004B5470"/>
    <w:rsid w:val="004B723B"/>
    <w:rsid w:val="004D169D"/>
    <w:rsid w:val="004D3853"/>
    <w:rsid w:val="004E4F59"/>
    <w:rsid w:val="004E59C5"/>
    <w:rsid w:val="004E70FA"/>
    <w:rsid w:val="004F58ED"/>
    <w:rsid w:val="004F7492"/>
    <w:rsid w:val="0050598F"/>
    <w:rsid w:val="00505B43"/>
    <w:rsid w:val="005170FD"/>
    <w:rsid w:val="0051734C"/>
    <w:rsid w:val="00521FE5"/>
    <w:rsid w:val="0052292F"/>
    <w:rsid w:val="0053057E"/>
    <w:rsid w:val="00533EC6"/>
    <w:rsid w:val="005374B0"/>
    <w:rsid w:val="00552E4B"/>
    <w:rsid w:val="00556C89"/>
    <w:rsid w:val="005668B8"/>
    <w:rsid w:val="00582129"/>
    <w:rsid w:val="00582E75"/>
    <w:rsid w:val="00583C55"/>
    <w:rsid w:val="00584B8E"/>
    <w:rsid w:val="00584C20"/>
    <w:rsid w:val="00584DB7"/>
    <w:rsid w:val="0059343E"/>
    <w:rsid w:val="00596ADC"/>
    <w:rsid w:val="005A7EB1"/>
    <w:rsid w:val="005B063E"/>
    <w:rsid w:val="005B512D"/>
    <w:rsid w:val="005B7BBE"/>
    <w:rsid w:val="005C0D44"/>
    <w:rsid w:val="005D1DD9"/>
    <w:rsid w:val="005D51A7"/>
    <w:rsid w:val="005D659E"/>
    <w:rsid w:val="005F2F16"/>
    <w:rsid w:val="005F3BF8"/>
    <w:rsid w:val="00610B75"/>
    <w:rsid w:val="006132CE"/>
    <w:rsid w:val="0061574F"/>
    <w:rsid w:val="00626547"/>
    <w:rsid w:val="00636E23"/>
    <w:rsid w:val="00646B3C"/>
    <w:rsid w:val="00654284"/>
    <w:rsid w:val="0065773A"/>
    <w:rsid w:val="00661A12"/>
    <w:rsid w:val="00661C37"/>
    <w:rsid w:val="00664025"/>
    <w:rsid w:val="00672DB7"/>
    <w:rsid w:val="006771F6"/>
    <w:rsid w:val="00677F06"/>
    <w:rsid w:val="00681CA6"/>
    <w:rsid w:val="00681E2E"/>
    <w:rsid w:val="00686F55"/>
    <w:rsid w:val="00691DBC"/>
    <w:rsid w:val="00692CBB"/>
    <w:rsid w:val="006938A3"/>
    <w:rsid w:val="006A1AE6"/>
    <w:rsid w:val="006A39A4"/>
    <w:rsid w:val="006A3D33"/>
    <w:rsid w:val="006A687A"/>
    <w:rsid w:val="006B75BD"/>
    <w:rsid w:val="006C0512"/>
    <w:rsid w:val="006C42B3"/>
    <w:rsid w:val="006C6685"/>
    <w:rsid w:val="006D31D8"/>
    <w:rsid w:val="006D79B1"/>
    <w:rsid w:val="006D7E1D"/>
    <w:rsid w:val="006E2BC1"/>
    <w:rsid w:val="006E7CB5"/>
    <w:rsid w:val="006F0B2E"/>
    <w:rsid w:val="006F382F"/>
    <w:rsid w:val="006F6D7F"/>
    <w:rsid w:val="007120B0"/>
    <w:rsid w:val="00714E5D"/>
    <w:rsid w:val="00716468"/>
    <w:rsid w:val="00725E87"/>
    <w:rsid w:val="00726826"/>
    <w:rsid w:val="0073364C"/>
    <w:rsid w:val="007350DF"/>
    <w:rsid w:val="00735353"/>
    <w:rsid w:val="00742618"/>
    <w:rsid w:val="00747FD8"/>
    <w:rsid w:val="00762EC4"/>
    <w:rsid w:val="007642E6"/>
    <w:rsid w:val="00770EDD"/>
    <w:rsid w:val="007733E6"/>
    <w:rsid w:val="00777038"/>
    <w:rsid w:val="007804DF"/>
    <w:rsid w:val="007862C1"/>
    <w:rsid w:val="00797FA4"/>
    <w:rsid w:val="007A5899"/>
    <w:rsid w:val="007B369C"/>
    <w:rsid w:val="007D03A1"/>
    <w:rsid w:val="007D5E46"/>
    <w:rsid w:val="007E3553"/>
    <w:rsid w:val="007E4253"/>
    <w:rsid w:val="00800257"/>
    <w:rsid w:val="008074CD"/>
    <w:rsid w:val="008075E7"/>
    <w:rsid w:val="00824C98"/>
    <w:rsid w:val="00831336"/>
    <w:rsid w:val="008513AF"/>
    <w:rsid w:val="0085585E"/>
    <w:rsid w:val="00856C00"/>
    <w:rsid w:val="00865D26"/>
    <w:rsid w:val="00866172"/>
    <w:rsid w:val="00867836"/>
    <w:rsid w:val="008863F6"/>
    <w:rsid w:val="00887915"/>
    <w:rsid w:val="00891C95"/>
    <w:rsid w:val="008C2C04"/>
    <w:rsid w:val="008C41FC"/>
    <w:rsid w:val="008C5AD5"/>
    <w:rsid w:val="008C760F"/>
    <w:rsid w:val="008D1C75"/>
    <w:rsid w:val="008F2A2C"/>
    <w:rsid w:val="008F6D5D"/>
    <w:rsid w:val="008F6FDB"/>
    <w:rsid w:val="0090114E"/>
    <w:rsid w:val="009046C4"/>
    <w:rsid w:val="00917AB5"/>
    <w:rsid w:val="009231FD"/>
    <w:rsid w:val="0092482F"/>
    <w:rsid w:val="009411A4"/>
    <w:rsid w:val="00942B7A"/>
    <w:rsid w:val="009520FE"/>
    <w:rsid w:val="00955D2A"/>
    <w:rsid w:val="00962B0A"/>
    <w:rsid w:val="009702A4"/>
    <w:rsid w:val="00982749"/>
    <w:rsid w:val="00985702"/>
    <w:rsid w:val="00990896"/>
    <w:rsid w:val="009951CC"/>
    <w:rsid w:val="009964A3"/>
    <w:rsid w:val="009A11DC"/>
    <w:rsid w:val="009B2FB6"/>
    <w:rsid w:val="009C10A6"/>
    <w:rsid w:val="009C15F9"/>
    <w:rsid w:val="009C42A2"/>
    <w:rsid w:val="009C6706"/>
    <w:rsid w:val="009D2247"/>
    <w:rsid w:val="009D6C30"/>
    <w:rsid w:val="009E4603"/>
    <w:rsid w:val="00A02A47"/>
    <w:rsid w:val="00A13BD6"/>
    <w:rsid w:val="00A1453E"/>
    <w:rsid w:val="00A1515C"/>
    <w:rsid w:val="00A2130C"/>
    <w:rsid w:val="00A229F3"/>
    <w:rsid w:val="00A26C56"/>
    <w:rsid w:val="00A37894"/>
    <w:rsid w:val="00A41AA2"/>
    <w:rsid w:val="00A4435E"/>
    <w:rsid w:val="00A518BE"/>
    <w:rsid w:val="00A53043"/>
    <w:rsid w:val="00A54BA5"/>
    <w:rsid w:val="00A56D6F"/>
    <w:rsid w:val="00A5754F"/>
    <w:rsid w:val="00A620FA"/>
    <w:rsid w:val="00A6210D"/>
    <w:rsid w:val="00A621AB"/>
    <w:rsid w:val="00A7242D"/>
    <w:rsid w:val="00A75EEE"/>
    <w:rsid w:val="00A773A5"/>
    <w:rsid w:val="00A77CD2"/>
    <w:rsid w:val="00A77F52"/>
    <w:rsid w:val="00A83753"/>
    <w:rsid w:val="00A9229E"/>
    <w:rsid w:val="00AB59F8"/>
    <w:rsid w:val="00AD6A89"/>
    <w:rsid w:val="00AE7C25"/>
    <w:rsid w:val="00B02A76"/>
    <w:rsid w:val="00B05BF7"/>
    <w:rsid w:val="00B12B5A"/>
    <w:rsid w:val="00B14D6D"/>
    <w:rsid w:val="00B2047F"/>
    <w:rsid w:val="00B24B8F"/>
    <w:rsid w:val="00B40BCF"/>
    <w:rsid w:val="00B578E1"/>
    <w:rsid w:val="00B71E0C"/>
    <w:rsid w:val="00B8354F"/>
    <w:rsid w:val="00B90A74"/>
    <w:rsid w:val="00BA50B3"/>
    <w:rsid w:val="00BA7D91"/>
    <w:rsid w:val="00BB18BA"/>
    <w:rsid w:val="00BB2156"/>
    <w:rsid w:val="00BB5052"/>
    <w:rsid w:val="00BC002E"/>
    <w:rsid w:val="00BC0035"/>
    <w:rsid w:val="00BD1107"/>
    <w:rsid w:val="00BD28FE"/>
    <w:rsid w:val="00BD2C7D"/>
    <w:rsid w:val="00BD6DE4"/>
    <w:rsid w:val="00BE02FC"/>
    <w:rsid w:val="00BE2F2A"/>
    <w:rsid w:val="00BF0A16"/>
    <w:rsid w:val="00BF14BA"/>
    <w:rsid w:val="00C00A42"/>
    <w:rsid w:val="00C12DB2"/>
    <w:rsid w:val="00C2615F"/>
    <w:rsid w:val="00C428D9"/>
    <w:rsid w:val="00C4562F"/>
    <w:rsid w:val="00C4612B"/>
    <w:rsid w:val="00C5461B"/>
    <w:rsid w:val="00C5540A"/>
    <w:rsid w:val="00C57040"/>
    <w:rsid w:val="00C63272"/>
    <w:rsid w:val="00C63308"/>
    <w:rsid w:val="00C72741"/>
    <w:rsid w:val="00C765F6"/>
    <w:rsid w:val="00C83D3C"/>
    <w:rsid w:val="00C87291"/>
    <w:rsid w:val="00C92E18"/>
    <w:rsid w:val="00C9394F"/>
    <w:rsid w:val="00CA25EC"/>
    <w:rsid w:val="00CA6AD7"/>
    <w:rsid w:val="00CB1236"/>
    <w:rsid w:val="00CB128F"/>
    <w:rsid w:val="00CB2153"/>
    <w:rsid w:val="00CB2F79"/>
    <w:rsid w:val="00CB4346"/>
    <w:rsid w:val="00CB56DD"/>
    <w:rsid w:val="00CF5CD2"/>
    <w:rsid w:val="00D05020"/>
    <w:rsid w:val="00D14967"/>
    <w:rsid w:val="00D214FD"/>
    <w:rsid w:val="00D22C99"/>
    <w:rsid w:val="00D27288"/>
    <w:rsid w:val="00D27F64"/>
    <w:rsid w:val="00D302E8"/>
    <w:rsid w:val="00D30597"/>
    <w:rsid w:val="00D3333D"/>
    <w:rsid w:val="00D33625"/>
    <w:rsid w:val="00D34E78"/>
    <w:rsid w:val="00D4124E"/>
    <w:rsid w:val="00D437DE"/>
    <w:rsid w:val="00D445DC"/>
    <w:rsid w:val="00D463AC"/>
    <w:rsid w:val="00D525F8"/>
    <w:rsid w:val="00D55425"/>
    <w:rsid w:val="00D569D5"/>
    <w:rsid w:val="00D60D10"/>
    <w:rsid w:val="00D624C9"/>
    <w:rsid w:val="00D80C3E"/>
    <w:rsid w:val="00D87610"/>
    <w:rsid w:val="00D903CD"/>
    <w:rsid w:val="00D9050C"/>
    <w:rsid w:val="00D9061A"/>
    <w:rsid w:val="00D93846"/>
    <w:rsid w:val="00DA435C"/>
    <w:rsid w:val="00DA4852"/>
    <w:rsid w:val="00DA5137"/>
    <w:rsid w:val="00DB648F"/>
    <w:rsid w:val="00DC399E"/>
    <w:rsid w:val="00DC7892"/>
    <w:rsid w:val="00DD0F54"/>
    <w:rsid w:val="00DD5669"/>
    <w:rsid w:val="00DF0671"/>
    <w:rsid w:val="00DF29D3"/>
    <w:rsid w:val="00DF7E59"/>
    <w:rsid w:val="00E021A3"/>
    <w:rsid w:val="00E03127"/>
    <w:rsid w:val="00E04681"/>
    <w:rsid w:val="00E15C7A"/>
    <w:rsid w:val="00E20CA3"/>
    <w:rsid w:val="00E20D8C"/>
    <w:rsid w:val="00E32DB2"/>
    <w:rsid w:val="00E36554"/>
    <w:rsid w:val="00E4072F"/>
    <w:rsid w:val="00E43D52"/>
    <w:rsid w:val="00E477EC"/>
    <w:rsid w:val="00E52D52"/>
    <w:rsid w:val="00E54660"/>
    <w:rsid w:val="00E663AD"/>
    <w:rsid w:val="00E67134"/>
    <w:rsid w:val="00E73961"/>
    <w:rsid w:val="00E746A9"/>
    <w:rsid w:val="00E7599C"/>
    <w:rsid w:val="00E80924"/>
    <w:rsid w:val="00E80B40"/>
    <w:rsid w:val="00E93EF7"/>
    <w:rsid w:val="00EA2D6C"/>
    <w:rsid w:val="00EB7F8D"/>
    <w:rsid w:val="00ED127C"/>
    <w:rsid w:val="00ED59C3"/>
    <w:rsid w:val="00EE01C3"/>
    <w:rsid w:val="00EE566A"/>
    <w:rsid w:val="00EF0888"/>
    <w:rsid w:val="00EF5269"/>
    <w:rsid w:val="00EF6198"/>
    <w:rsid w:val="00EF7F8D"/>
    <w:rsid w:val="00F01733"/>
    <w:rsid w:val="00F0260E"/>
    <w:rsid w:val="00F03895"/>
    <w:rsid w:val="00F03D5E"/>
    <w:rsid w:val="00F10AB9"/>
    <w:rsid w:val="00F23969"/>
    <w:rsid w:val="00F243A0"/>
    <w:rsid w:val="00F24496"/>
    <w:rsid w:val="00F25724"/>
    <w:rsid w:val="00F318A2"/>
    <w:rsid w:val="00F542D5"/>
    <w:rsid w:val="00F644AD"/>
    <w:rsid w:val="00F6562F"/>
    <w:rsid w:val="00F70C6A"/>
    <w:rsid w:val="00F71B20"/>
    <w:rsid w:val="00F832B1"/>
    <w:rsid w:val="00F83887"/>
    <w:rsid w:val="00F84E99"/>
    <w:rsid w:val="00F90D93"/>
    <w:rsid w:val="00F923E8"/>
    <w:rsid w:val="00F94651"/>
    <w:rsid w:val="00F968B8"/>
    <w:rsid w:val="00FA5990"/>
    <w:rsid w:val="00FB2967"/>
    <w:rsid w:val="00FB2B3F"/>
    <w:rsid w:val="00FB47CD"/>
    <w:rsid w:val="00FB4F08"/>
    <w:rsid w:val="00FC0C23"/>
    <w:rsid w:val="00FC1C37"/>
    <w:rsid w:val="00FD5B4C"/>
    <w:rsid w:val="00FE7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58DC42F"/>
  <w15:docId w15:val="{677D6F18-BE74-A343-9323-2104E2FB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7C72"/>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widowControl w:val="0"/>
      <w:tabs>
        <w:tab w:val="center" w:pos="4153"/>
        <w:tab w:val="right" w:pos="8306"/>
      </w:tabs>
      <w:snapToGrid w:val="0"/>
    </w:pPr>
    <w:rPr>
      <w:rFonts w:ascii="Times New Roman" w:hAnsi="Times New Roman" w:cs="Times New Roman"/>
      <w:kern w:val="2"/>
      <w:sz w:val="18"/>
    </w:rPr>
  </w:style>
  <w:style w:type="paragraph" w:styleId="a4">
    <w:name w:val="header"/>
    <w:basedOn w:val="a"/>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DejaVu Sans" w:hAnsi="DejaVu Sans" w:cs="Times New Roman"/>
      <w:kern w:val="2"/>
      <w:sz w:val="18"/>
    </w:rPr>
  </w:style>
  <w:style w:type="paragraph" w:customStyle="1" w:styleId="Style45">
    <w:name w:val="_Style 45"/>
    <w:qFormat/>
    <w:rPr>
      <w:rFonts w:ascii="Calibri" w:eastAsia="宋体" w:hAnsi="Calibri" w:cs="Times New Roman"/>
      <w:sz w:val="22"/>
      <w:szCs w:val="22"/>
    </w:rPr>
  </w:style>
  <w:style w:type="paragraph" w:customStyle="1" w:styleId="1">
    <w:name w:val="列表段落1"/>
    <w:basedOn w:val="a"/>
    <w:uiPriority w:val="34"/>
    <w:qFormat/>
    <w:pPr>
      <w:widowControl w:val="0"/>
      <w:ind w:firstLineChars="200" w:firstLine="420"/>
      <w:jc w:val="both"/>
    </w:pPr>
    <w:rPr>
      <w:rFonts w:ascii="Times New Roman" w:hAnsi="Times New Roman" w:cs="Times New Roman"/>
      <w:kern w:val="2"/>
      <w:sz w:val="21"/>
    </w:rPr>
  </w:style>
  <w:style w:type="paragraph" w:styleId="a5">
    <w:name w:val="caption"/>
    <w:basedOn w:val="a"/>
    <w:next w:val="a"/>
    <w:unhideWhenUsed/>
    <w:qFormat/>
    <w:rsid w:val="002C374A"/>
    <w:pPr>
      <w:jc w:val="both"/>
    </w:pPr>
    <w:rPr>
      <w:rFonts w:asciiTheme="majorHAnsi" w:eastAsia="黑体" w:hAnsiTheme="majorHAnsi" w:cstheme="majorBidi"/>
      <w:kern w:val="2"/>
      <w:sz w:val="20"/>
      <w:szCs w:val="20"/>
    </w:rPr>
  </w:style>
  <w:style w:type="paragraph" w:styleId="a6">
    <w:name w:val="List Paragraph"/>
    <w:basedOn w:val="a"/>
    <w:uiPriority w:val="99"/>
    <w:rsid w:val="002C374A"/>
    <w:pPr>
      <w:widowControl w:val="0"/>
      <w:ind w:firstLineChars="200" w:firstLine="420"/>
      <w:jc w:val="both"/>
    </w:pPr>
    <w:rPr>
      <w:rFonts w:ascii="Times New Roman" w:hAnsi="Times New Roman" w:cs="Times New Roman"/>
      <w:kern w:val="2"/>
      <w:sz w:val="21"/>
    </w:rPr>
  </w:style>
  <w:style w:type="paragraph" w:styleId="a7">
    <w:name w:val="Balloon Text"/>
    <w:basedOn w:val="a"/>
    <w:link w:val="Char"/>
    <w:rsid w:val="00F71B20"/>
    <w:rPr>
      <w:sz w:val="18"/>
      <w:szCs w:val="18"/>
    </w:rPr>
  </w:style>
  <w:style w:type="character" w:customStyle="1" w:styleId="Char">
    <w:name w:val="批注框文本 Char"/>
    <w:basedOn w:val="a0"/>
    <w:link w:val="a7"/>
    <w:rsid w:val="00F71B20"/>
    <w:rPr>
      <w:rFonts w:ascii="宋体" w:eastAsia="宋体" w:hAnsi="宋体" w:cs="宋体"/>
      <w:sz w:val="18"/>
      <w:szCs w:val="18"/>
    </w:rPr>
  </w:style>
  <w:style w:type="table" w:styleId="a8">
    <w:name w:val="Table Grid"/>
    <w:basedOn w:val="a1"/>
    <w:rsid w:val="00B14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829">
      <w:bodyDiv w:val="1"/>
      <w:marLeft w:val="0"/>
      <w:marRight w:val="0"/>
      <w:marTop w:val="0"/>
      <w:marBottom w:val="0"/>
      <w:divBdr>
        <w:top w:val="none" w:sz="0" w:space="0" w:color="auto"/>
        <w:left w:val="none" w:sz="0" w:space="0" w:color="auto"/>
        <w:bottom w:val="none" w:sz="0" w:space="0" w:color="auto"/>
        <w:right w:val="none" w:sz="0" w:space="0" w:color="auto"/>
      </w:divBdr>
    </w:div>
    <w:div w:id="154419662">
      <w:bodyDiv w:val="1"/>
      <w:marLeft w:val="0"/>
      <w:marRight w:val="0"/>
      <w:marTop w:val="0"/>
      <w:marBottom w:val="0"/>
      <w:divBdr>
        <w:top w:val="none" w:sz="0" w:space="0" w:color="auto"/>
        <w:left w:val="none" w:sz="0" w:space="0" w:color="auto"/>
        <w:bottom w:val="none" w:sz="0" w:space="0" w:color="auto"/>
        <w:right w:val="none" w:sz="0" w:space="0" w:color="auto"/>
      </w:divBdr>
    </w:div>
    <w:div w:id="156043961">
      <w:bodyDiv w:val="1"/>
      <w:marLeft w:val="0"/>
      <w:marRight w:val="0"/>
      <w:marTop w:val="0"/>
      <w:marBottom w:val="0"/>
      <w:divBdr>
        <w:top w:val="none" w:sz="0" w:space="0" w:color="auto"/>
        <w:left w:val="none" w:sz="0" w:space="0" w:color="auto"/>
        <w:bottom w:val="none" w:sz="0" w:space="0" w:color="auto"/>
        <w:right w:val="none" w:sz="0" w:space="0" w:color="auto"/>
      </w:divBdr>
    </w:div>
    <w:div w:id="234317454">
      <w:bodyDiv w:val="1"/>
      <w:marLeft w:val="0"/>
      <w:marRight w:val="0"/>
      <w:marTop w:val="0"/>
      <w:marBottom w:val="0"/>
      <w:divBdr>
        <w:top w:val="none" w:sz="0" w:space="0" w:color="auto"/>
        <w:left w:val="none" w:sz="0" w:space="0" w:color="auto"/>
        <w:bottom w:val="none" w:sz="0" w:space="0" w:color="auto"/>
        <w:right w:val="none" w:sz="0" w:space="0" w:color="auto"/>
      </w:divBdr>
    </w:div>
    <w:div w:id="257295519">
      <w:bodyDiv w:val="1"/>
      <w:marLeft w:val="0"/>
      <w:marRight w:val="0"/>
      <w:marTop w:val="0"/>
      <w:marBottom w:val="0"/>
      <w:divBdr>
        <w:top w:val="none" w:sz="0" w:space="0" w:color="auto"/>
        <w:left w:val="none" w:sz="0" w:space="0" w:color="auto"/>
        <w:bottom w:val="none" w:sz="0" w:space="0" w:color="auto"/>
        <w:right w:val="none" w:sz="0" w:space="0" w:color="auto"/>
      </w:divBdr>
    </w:div>
    <w:div w:id="436339499">
      <w:bodyDiv w:val="1"/>
      <w:marLeft w:val="0"/>
      <w:marRight w:val="0"/>
      <w:marTop w:val="0"/>
      <w:marBottom w:val="0"/>
      <w:divBdr>
        <w:top w:val="none" w:sz="0" w:space="0" w:color="auto"/>
        <w:left w:val="none" w:sz="0" w:space="0" w:color="auto"/>
        <w:bottom w:val="none" w:sz="0" w:space="0" w:color="auto"/>
        <w:right w:val="none" w:sz="0" w:space="0" w:color="auto"/>
      </w:divBdr>
    </w:div>
    <w:div w:id="842478787">
      <w:bodyDiv w:val="1"/>
      <w:marLeft w:val="0"/>
      <w:marRight w:val="0"/>
      <w:marTop w:val="0"/>
      <w:marBottom w:val="0"/>
      <w:divBdr>
        <w:top w:val="none" w:sz="0" w:space="0" w:color="auto"/>
        <w:left w:val="none" w:sz="0" w:space="0" w:color="auto"/>
        <w:bottom w:val="none" w:sz="0" w:space="0" w:color="auto"/>
        <w:right w:val="none" w:sz="0" w:space="0" w:color="auto"/>
      </w:divBdr>
    </w:div>
    <w:div w:id="909584259">
      <w:bodyDiv w:val="1"/>
      <w:marLeft w:val="0"/>
      <w:marRight w:val="0"/>
      <w:marTop w:val="0"/>
      <w:marBottom w:val="0"/>
      <w:divBdr>
        <w:top w:val="none" w:sz="0" w:space="0" w:color="auto"/>
        <w:left w:val="none" w:sz="0" w:space="0" w:color="auto"/>
        <w:bottom w:val="none" w:sz="0" w:space="0" w:color="auto"/>
        <w:right w:val="none" w:sz="0" w:space="0" w:color="auto"/>
      </w:divBdr>
    </w:div>
    <w:div w:id="929236568">
      <w:bodyDiv w:val="1"/>
      <w:marLeft w:val="0"/>
      <w:marRight w:val="0"/>
      <w:marTop w:val="0"/>
      <w:marBottom w:val="0"/>
      <w:divBdr>
        <w:top w:val="none" w:sz="0" w:space="0" w:color="auto"/>
        <w:left w:val="none" w:sz="0" w:space="0" w:color="auto"/>
        <w:bottom w:val="none" w:sz="0" w:space="0" w:color="auto"/>
        <w:right w:val="none" w:sz="0" w:space="0" w:color="auto"/>
      </w:divBdr>
    </w:div>
    <w:div w:id="1061173637">
      <w:bodyDiv w:val="1"/>
      <w:marLeft w:val="0"/>
      <w:marRight w:val="0"/>
      <w:marTop w:val="0"/>
      <w:marBottom w:val="0"/>
      <w:divBdr>
        <w:top w:val="none" w:sz="0" w:space="0" w:color="auto"/>
        <w:left w:val="none" w:sz="0" w:space="0" w:color="auto"/>
        <w:bottom w:val="none" w:sz="0" w:space="0" w:color="auto"/>
        <w:right w:val="none" w:sz="0" w:space="0" w:color="auto"/>
      </w:divBdr>
    </w:div>
    <w:div w:id="1106464036">
      <w:bodyDiv w:val="1"/>
      <w:marLeft w:val="0"/>
      <w:marRight w:val="0"/>
      <w:marTop w:val="0"/>
      <w:marBottom w:val="0"/>
      <w:divBdr>
        <w:top w:val="none" w:sz="0" w:space="0" w:color="auto"/>
        <w:left w:val="none" w:sz="0" w:space="0" w:color="auto"/>
        <w:bottom w:val="none" w:sz="0" w:space="0" w:color="auto"/>
        <w:right w:val="none" w:sz="0" w:space="0" w:color="auto"/>
      </w:divBdr>
    </w:div>
    <w:div w:id="1211262948">
      <w:bodyDiv w:val="1"/>
      <w:marLeft w:val="0"/>
      <w:marRight w:val="0"/>
      <w:marTop w:val="0"/>
      <w:marBottom w:val="0"/>
      <w:divBdr>
        <w:top w:val="none" w:sz="0" w:space="0" w:color="auto"/>
        <w:left w:val="none" w:sz="0" w:space="0" w:color="auto"/>
        <w:bottom w:val="none" w:sz="0" w:space="0" w:color="auto"/>
        <w:right w:val="none" w:sz="0" w:space="0" w:color="auto"/>
      </w:divBdr>
    </w:div>
    <w:div w:id="1255087744">
      <w:bodyDiv w:val="1"/>
      <w:marLeft w:val="0"/>
      <w:marRight w:val="0"/>
      <w:marTop w:val="0"/>
      <w:marBottom w:val="0"/>
      <w:divBdr>
        <w:top w:val="none" w:sz="0" w:space="0" w:color="auto"/>
        <w:left w:val="none" w:sz="0" w:space="0" w:color="auto"/>
        <w:bottom w:val="none" w:sz="0" w:space="0" w:color="auto"/>
        <w:right w:val="none" w:sz="0" w:space="0" w:color="auto"/>
      </w:divBdr>
    </w:div>
    <w:div w:id="1428387984">
      <w:bodyDiv w:val="1"/>
      <w:marLeft w:val="0"/>
      <w:marRight w:val="0"/>
      <w:marTop w:val="0"/>
      <w:marBottom w:val="0"/>
      <w:divBdr>
        <w:top w:val="none" w:sz="0" w:space="0" w:color="auto"/>
        <w:left w:val="none" w:sz="0" w:space="0" w:color="auto"/>
        <w:bottom w:val="none" w:sz="0" w:space="0" w:color="auto"/>
        <w:right w:val="none" w:sz="0" w:space="0" w:color="auto"/>
      </w:divBdr>
    </w:div>
    <w:div w:id="1489443874">
      <w:bodyDiv w:val="1"/>
      <w:marLeft w:val="0"/>
      <w:marRight w:val="0"/>
      <w:marTop w:val="0"/>
      <w:marBottom w:val="0"/>
      <w:divBdr>
        <w:top w:val="none" w:sz="0" w:space="0" w:color="auto"/>
        <w:left w:val="none" w:sz="0" w:space="0" w:color="auto"/>
        <w:bottom w:val="none" w:sz="0" w:space="0" w:color="auto"/>
        <w:right w:val="none" w:sz="0" w:space="0" w:color="auto"/>
      </w:divBdr>
    </w:div>
    <w:div w:id="1788039854">
      <w:bodyDiv w:val="1"/>
      <w:marLeft w:val="0"/>
      <w:marRight w:val="0"/>
      <w:marTop w:val="0"/>
      <w:marBottom w:val="0"/>
      <w:divBdr>
        <w:top w:val="none" w:sz="0" w:space="0" w:color="auto"/>
        <w:left w:val="none" w:sz="0" w:space="0" w:color="auto"/>
        <w:bottom w:val="none" w:sz="0" w:space="0" w:color="auto"/>
        <w:right w:val="none" w:sz="0" w:space="0" w:color="auto"/>
      </w:divBdr>
    </w:div>
    <w:div w:id="1802189639">
      <w:bodyDiv w:val="1"/>
      <w:marLeft w:val="0"/>
      <w:marRight w:val="0"/>
      <w:marTop w:val="0"/>
      <w:marBottom w:val="0"/>
      <w:divBdr>
        <w:top w:val="none" w:sz="0" w:space="0" w:color="auto"/>
        <w:left w:val="none" w:sz="0" w:space="0" w:color="auto"/>
        <w:bottom w:val="none" w:sz="0" w:space="0" w:color="auto"/>
        <w:right w:val="none" w:sz="0" w:space="0" w:color="auto"/>
      </w:divBdr>
    </w:div>
    <w:div w:id="1905528291">
      <w:bodyDiv w:val="1"/>
      <w:marLeft w:val="0"/>
      <w:marRight w:val="0"/>
      <w:marTop w:val="0"/>
      <w:marBottom w:val="0"/>
      <w:divBdr>
        <w:top w:val="none" w:sz="0" w:space="0" w:color="auto"/>
        <w:left w:val="none" w:sz="0" w:space="0" w:color="auto"/>
        <w:bottom w:val="none" w:sz="0" w:space="0" w:color="auto"/>
        <w:right w:val="none" w:sz="0" w:space="0" w:color="auto"/>
      </w:divBdr>
    </w:div>
    <w:div w:id="2070836824">
      <w:bodyDiv w:val="1"/>
      <w:marLeft w:val="0"/>
      <w:marRight w:val="0"/>
      <w:marTop w:val="0"/>
      <w:marBottom w:val="0"/>
      <w:divBdr>
        <w:top w:val="none" w:sz="0" w:space="0" w:color="auto"/>
        <w:left w:val="none" w:sz="0" w:space="0" w:color="auto"/>
        <w:bottom w:val="none" w:sz="0" w:space="0" w:color="auto"/>
        <w:right w:val="none" w:sz="0" w:space="0" w:color="auto"/>
      </w:divBdr>
    </w:div>
    <w:div w:id="2102289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WorkSpace\Tacter\&#34892;&#19994;&#30740;&#31350;\&#30123;&#24773;&#38382;&#21367;&#35843;&#30740;\&#30123;&#24773;&#38382;&#21367;&#35843;&#26597;&#27169;&#26495;-&#24191;&#24030;+&#29664;&#28023;.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8D9-4ABA-AB8A-61306C7E1D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85-49C2-9A0C-65C7D596A7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4-1A85-49C2-9A0C-65C7D596A7F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2-1A85-49C2-9A0C-65C7D596A7F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1A85-49C2-9A0C-65C7D596A7F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8D9-4ABA-AB8A-61306C7E1D2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8D9-4ABA-AB8A-61306C7E1D2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8D9-4ABA-AB8A-61306C7E1D29}"/>
              </c:ext>
            </c:extLst>
          </c:dPt>
          <c:dLbls>
            <c:dLbl>
              <c:idx val="1"/>
              <c:layout>
                <c:manualLayout>
                  <c:x val="7.7396853806469476E-3"/>
                  <c:y val="1.668868790781957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A85-49C2-9A0C-65C7D596A7F4}"/>
                </c:ext>
                <c:ext xmlns:c15="http://schemas.microsoft.com/office/drawing/2012/chart" uri="{CE6537A1-D6FC-4f65-9D91-7224C49458BB}"/>
              </c:extLst>
            </c:dLbl>
            <c:dLbl>
              <c:idx val="2"/>
              <c:layout>
                <c:manualLayout>
                  <c:x val="-2.6928640902791075E-2"/>
                  <c:y val="-1.3689898669787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1A85-49C2-9A0C-65C7D596A7F4}"/>
                </c:ext>
                <c:ext xmlns:c15="http://schemas.microsoft.com/office/drawing/2012/chart" uri="{CE6537A1-D6FC-4f65-9D91-7224C49458BB}"/>
              </c:extLst>
            </c:dLbl>
            <c:dLbl>
              <c:idx val="3"/>
              <c:layout>
                <c:manualLayout>
                  <c:x val="-1.501807819411449E-3"/>
                  <c:y val="-3.304811356784736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1A85-49C2-9A0C-65C7D596A7F4}"/>
                </c:ext>
                <c:ext xmlns:c15="http://schemas.microsoft.com/office/drawing/2012/chart" uri="{CE6537A1-D6FC-4f65-9D91-7224C49458BB}"/>
              </c:extLst>
            </c:dLbl>
            <c:dLbl>
              <c:idx val="4"/>
              <c:layout>
                <c:manualLayout>
                  <c:x val="-1.7863000089111182E-3"/>
                  <c:y val="-1.623168620950244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A85-49C2-9A0C-65C7D596A7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国有独资企业</c:v>
                </c:pt>
                <c:pt idx="1">
                  <c:v>国有控股企业</c:v>
                </c:pt>
                <c:pt idx="2">
                  <c:v>国有参股企业</c:v>
                </c:pt>
                <c:pt idx="3">
                  <c:v>事业单位</c:v>
                </c:pt>
                <c:pt idx="4">
                  <c:v>全民所有制企业</c:v>
                </c:pt>
                <c:pt idx="5">
                  <c:v>民营企业</c:v>
                </c:pt>
                <c:pt idx="6">
                  <c:v>外资/合资</c:v>
                </c:pt>
                <c:pt idx="7">
                  <c:v>其他</c:v>
                </c:pt>
              </c:strCache>
            </c:strRef>
          </c:cat>
          <c:val>
            <c:numRef>
              <c:f>Sheet1!$B$2:$B$9</c:f>
              <c:numCache>
                <c:formatCode>0.00%</c:formatCode>
                <c:ptCount val="8"/>
                <c:pt idx="0">
                  <c:v>0.52400000000000002</c:v>
                </c:pt>
                <c:pt idx="1">
                  <c:v>7.6999999999999999E-2</c:v>
                </c:pt>
                <c:pt idx="2">
                  <c:v>1.4999999999999999E-2</c:v>
                </c:pt>
                <c:pt idx="3">
                  <c:v>6.2E-2</c:v>
                </c:pt>
                <c:pt idx="4" formatCode="0%">
                  <c:v>0.03</c:v>
                </c:pt>
                <c:pt idx="5">
                  <c:v>0.26300000000000001</c:v>
                </c:pt>
                <c:pt idx="6" formatCode="0%">
                  <c:v>0</c:v>
                </c:pt>
                <c:pt idx="7" formatCode="0%">
                  <c:v>0.03</c:v>
                </c:pt>
              </c:numCache>
            </c:numRef>
          </c:val>
          <c:extLst xmlns:c16r2="http://schemas.microsoft.com/office/drawing/2015/06/chart">
            <c:ext xmlns:c16="http://schemas.microsoft.com/office/drawing/2014/chart" uri="{C3380CC4-5D6E-409C-BE32-E72D297353CC}">
              <c16:uniqueId val="{00000000-1A85-49C2-9A0C-65C7D596A7F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制图页!$B$121:$B$128</c:f>
              <c:strCache>
                <c:ptCount val="8"/>
                <c:pt idx="0">
                  <c:v>无法判断</c:v>
                </c:pt>
                <c:pt idx="1">
                  <c:v>减少20%以上</c:v>
                </c:pt>
                <c:pt idx="2">
                  <c:v>减少10% - 20%</c:v>
                </c:pt>
                <c:pt idx="3">
                  <c:v>减少0至10%</c:v>
                </c:pt>
                <c:pt idx="4">
                  <c:v>没有影响</c:v>
                </c:pt>
                <c:pt idx="5">
                  <c:v>增长0至10%</c:v>
                </c:pt>
                <c:pt idx="6">
                  <c:v>增长10% - 20%</c:v>
                </c:pt>
                <c:pt idx="7">
                  <c:v>增长20%以上</c:v>
                </c:pt>
              </c:strCache>
            </c:strRef>
          </c:cat>
          <c:val>
            <c:numRef>
              <c:f>制图页!$C$121:$C$128</c:f>
              <c:numCache>
                <c:formatCode>0.0%</c:formatCode>
                <c:ptCount val="8"/>
                <c:pt idx="0">
                  <c:v>0.2</c:v>
                </c:pt>
                <c:pt idx="1">
                  <c:v>0.1076923076923077</c:v>
                </c:pt>
                <c:pt idx="2">
                  <c:v>4.6153846153846156E-2</c:v>
                </c:pt>
                <c:pt idx="3">
                  <c:v>4.6153846153846156E-2</c:v>
                </c:pt>
                <c:pt idx="4">
                  <c:v>3.0769230769230771E-2</c:v>
                </c:pt>
                <c:pt idx="5">
                  <c:v>6.1538461538461542E-2</c:v>
                </c:pt>
                <c:pt idx="6">
                  <c:v>0.38461538461538464</c:v>
                </c:pt>
                <c:pt idx="7">
                  <c:v>0.12307692307692308</c:v>
                </c:pt>
              </c:numCache>
            </c:numRef>
          </c:val>
          <c:extLst xmlns:c16r2="http://schemas.microsoft.com/office/drawing/2015/06/chart">
            <c:ext xmlns:c16="http://schemas.microsoft.com/office/drawing/2014/chart" uri="{C3380CC4-5D6E-409C-BE32-E72D297353CC}">
              <c16:uniqueId val="{00000000-0692-4154-9459-F063B37E924B}"/>
            </c:ext>
          </c:extLst>
        </c:ser>
        <c:dLbls>
          <c:dLblPos val="outEnd"/>
          <c:showLegendKey val="0"/>
          <c:showVal val="1"/>
          <c:showCatName val="0"/>
          <c:showSerName val="0"/>
          <c:showPercent val="0"/>
          <c:showBubbleSize val="0"/>
        </c:dLbls>
        <c:gapWidth val="182"/>
        <c:axId val="-1182697888"/>
        <c:axId val="-1182717472"/>
      </c:barChart>
      <c:catAx>
        <c:axId val="-118269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7472"/>
        <c:crosses val="autoZero"/>
        <c:auto val="1"/>
        <c:lblAlgn val="ctr"/>
        <c:lblOffset val="100"/>
        <c:noMultiLvlLbl val="0"/>
      </c:catAx>
      <c:valAx>
        <c:axId val="-1182717472"/>
        <c:scaling>
          <c:orientation val="minMax"/>
        </c:scaling>
        <c:delete val="1"/>
        <c:axPos val="b"/>
        <c:numFmt formatCode="0.0%" sourceLinked="1"/>
        <c:majorTickMark val="none"/>
        <c:minorTickMark val="none"/>
        <c:tickLblPos val="nextTo"/>
        <c:crossAx val="-118269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制图页!$C$132</c:f>
              <c:strCache>
                <c:ptCount val="1"/>
                <c:pt idx="0">
                  <c:v>年度营收</c:v>
                </c:pt>
              </c:strCache>
            </c:strRef>
          </c:tx>
          <c:spPr>
            <a:solidFill>
              <a:schemeClr val="accent1"/>
            </a:solidFill>
            <a:ln>
              <a:noFill/>
            </a:ln>
            <a:effectLst/>
          </c:spPr>
          <c:invertIfNegative val="0"/>
          <c:dLbls>
            <c:dLbl>
              <c:idx val="5"/>
              <c:layout>
                <c:manualLayout>
                  <c:x val="-2.2717622735500358E-17"/>
                  <c:y val="9.73236009732355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09-40DF-8891-420AF7AA59E0}"/>
                </c:ext>
                <c:ext xmlns:c15="http://schemas.microsoft.com/office/drawing/2012/chart" uri="{CE6537A1-D6FC-4f65-9D91-7224C49458BB}"/>
              </c:extLst>
            </c:dLbl>
            <c:dLbl>
              <c:idx val="8"/>
              <c:layout>
                <c:manualLayout>
                  <c:x val="-2.2717622735500358E-17"/>
                  <c:y val="4.86618004866177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09-40DF-8891-420AF7AA59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制图页!$B$133:$B$142</c:f>
              <c:strCache>
                <c:ptCount val="10"/>
                <c:pt idx="0">
                  <c:v>无法判断</c:v>
                </c:pt>
                <c:pt idx="1">
                  <c:v>减少30%以上</c:v>
                </c:pt>
                <c:pt idx="2">
                  <c:v>减少20% - 30%</c:v>
                </c:pt>
                <c:pt idx="3">
                  <c:v>减少10% - 20%</c:v>
                </c:pt>
                <c:pt idx="4">
                  <c:v>减少0至10%</c:v>
                </c:pt>
                <c:pt idx="5">
                  <c:v>无影响</c:v>
                </c:pt>
                <c:pt idx="6">
                  <c:v>增长0至10%</c:v>
                </c:pt>
                <c:pt idx="7">
                  <c:v>增长10% - 20%</c:v>
                </c:pt>
                <c:pt idx="8">
                  <c:v>增长20% - 30%</c:v>
                </c:pt>
                <c:pt idx="9">
                  <c:v>增长30%以上</c:v>
                </c:pt>
              </c:strCache>
            </c:strRef>
          </c:cat>
          <c:val>
            <c:numRef>
              <c:f>制图页!$C$133:$C$142</c:f>
              <c:numCache>
                <c:formatCode>0.0%</c:formatCode>
                <c:ptCount val="10"/>
                <c:pt idx="0">
                  <c:v>0.15384615384615385</c:v>
                </c:pt>
                <c:pt idx="1">
                  <c:v>0.13846153846153847</c:v>
                </c:pt>
                <c:pt idx="2">
                  <c:v>0.26153846153846155</c:v>
                </c:pt>
                <c:pt idx="3">
                  <c:v>0.4</c:v>
                </c:pt>
                <c:pt idx="4">
                  <c:v>4.6153846153846156E-2</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1F09-40DF-8891-420AF7AA59E0}"/>
            </c:ext>
          </c:extLst>
        </c:ser>
        <c:ser>
          <c:idx val="1"/>
          <c:order val="1"/>
          <c:tx>
            <c:strRef>
              <c:f>制图页!$D$132</c:f>
              <c:strCache>
                <c:ptCount val="1"/>
                <c:pt idx="0">
                  <c:v>Q1营收</c:v>
                </c:pt>
              </c:strCache>
            </c:strRef>
          </c:tx>
          <c:spPr>
            <a:solidFill>
              <a:schemeClr val="accent2"/>
            </a:solidFill>
            <a:ln>
              <a:noFill/>
            </a:ln>
            <a:effectLst/>
          </c:spPr>
          <c:invertIfNegative val="0"/>
          <c:dLbls>
            <c:dLbl>
              <c:idx val="4"/>
              <c:layout>
                <c:manualLayout>
                  <c:x val="0"/>
                  <c:y val="-9.732360097323601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09-40DF-8891-420AF7AA59E0}"/>
                </c:ext>
                <c:ext xmlns:c15="http://schemas.microsoft.com/office/drawing/2012/chart" uri="{CE6537A1-D6FC-4f65-9D91-7224C49458BB}"/>
              </c:extLst>
            </c:dLbl>
            <c:dLbl>
              <c:idx val="6"/>
              <c:layout>
                <c:manualLayout>
                  <c:x val="-2.4186176184101305E-17"/>
                  <c:y val="-5.27704485488131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09-40DF-8891-420AF7AA59E0}"/>
                </c:ext>
                <c:ext xmlns:c15="http://schemas.microsoft.com/office/drawing/2012/chart" uri="{CE6537A1-D6FC-4f65-9D91-7224C49458BB}"/>
              </c:extLst>
            </c:dLbl>
            <c:dLbl>
              <c:idx val="7"/>
              <c:layout>
                <c:manualLayout>
                  <c:x val="-2.4186176184101305E-17"/>
                  <c:y val="-1.05540897097625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09-40DF-8891-420AF7AA59E0}"/>
                </c:ext>
                <c:ext xmlns:c15="http://schemas.microsoft.com/office/drawing/2012/chart" uri="{CE6537A1-D6FC-4f65-9D91-7224C49458BB}"/>
              </c:extLst>
            </c:dLbl>
            <c:dLbl>
              <c:idx val="9"/>
              <c:layout>
                <c:manualLayout>
                  <c:x val="-2.2717622735500358E-17"/>
                  <c:y val="-1.94647201946472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09-40DF-8891-420AF7AA59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制图页!$B$133:$B$142</c:f>
              <c:strCache>
                <c:ptCount val="10"/>
                <c:pt idx="0">
                  <c:v>无法判断</c:v>
                </c:pt>
                <c:pt idx="1">
                  <c:v>减少30%以上</c:v>
                </c:pt>
                <c:pt idx="2">
                  <c:v>减少20% - 30%</c:v>
                </c:pt>
                <c:pt idx="3">
                  <c:v>减少10% - 20%</c:v>
                </c:pt>
                <c:pt idx="4">
                  <c:v>减少0至10%</c:v>
                </c:pt>
                <c:pt idx="5">
                  <c:v>无影响</c:v>
                </c:pt>
                <c:pt idx="6">
                  <c:v>增长0至10%</c:v>
                </c:pt>
                <c:pt idx="7">
                  <c:v>增长10% - 20%</c:v>
                </c:pt>
                <c:pt idx="8">
                  <c:v>增长20% - 30%</c:v>
                </c:pt>
                <c:pt idx="9">
                  <c:v>增长30%以上</c:v>
                </c:pt>
              </c:strCache>
            </c:strRef>
          </c:cat>
          <c:val>
            <c:numRef>
              <c:f>制图页!$D$133:$D$142</c:f>
              <c:numCache>
                <c:formatCode>0.0%</c:formatCode>
                <c:ptCount val="10"/>
                <c:pt idx="0">
                  <c:v>4.6153846153846156E-2</c:v>
                </c:pt>
                <c:pt idx="1">
                  <c:v>0.4</c:v>
                </c:pt>
                <c:pt idx="2">
                  <c:v>0.23076923076923078</c:v>
                </c:pt>
                <c:pt idx="3">
                  <c:v>0.26153846153846155</c:v>
                </c:pt>
                <c:pt idx="4">
                  <c:v>4.6153846153846156E-2</c:v>
                </c:pt>
                <c:pt idx="5">
                  <c:v>1.5384615384615385E-2</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1F09-40DF-8891-420AF7AA59E0}"/>
            </c:ext>
          </c:extLst>
        </c:ser>
        <c:dLbls>
          <c:dLblPos val="outEnd"/>
          <c:showLegendKey val="0"/>
          <c:showVal val="1"/>
          <c:showCatName val="0"/>
          <c:showSerName val="0"/>
          <c:showPercent val="0"/>
          <c:showBubbleSize val="0"/>
        </c:dLbls>
        <c:gapWidth val="182"/>
        <c:axId val="-1182712032"/>
        <c:axId val="-1182711488"/>
      </c:barChart>
      <c:catAx>
        <c:axId val="-118271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1488"/>
        <c:crosses val="autoZero"/>
        <c:auto val="1"/>
        <c:lblAlgn val="ctr"/>
        <c:lblOffset val="100"/>
        <c:noMultiLvlLbl val="0"/>
      </c:catAx>
      <c:valAx>
        <c:axId val="-1182711488"/>
        <c:scaling>
          <c:orientation val="minMax"/>
        </c:scaling>
        <c:delete val="1"/>
        <c:axPos val="b"/>
        <c:numFmt formatCode="0.0%" sourceLinked="1"/>
        <c:majorTickMark val="none"/>
        <c:minorTickMark val="none"/>
        <c:tickLblPos val="nextTo"/>
        <c:crossAx val="-11827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legend>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制图页!$B$147:$B$153</c:f>
              <c:strCache>
                <c:ptCount val="7"/>
                <c:pt idx="0">
                  <c:v>焦虑、恐慌等负面情绪蔓延，员工队伍不稳定</c:v>
                </c:pt>
                <c:pt idx="1">
                  <c:v>现有人才水平不足以应对外部压力和适应变革升级需要</c:v>
                </c:pt>
                <c:pt idx="2">
                  <c:v>业务开展受阻导致工作不饱和，呈现人才冗余</c:v>
                </c:pt>
                <c:pt idx="3">
                  <c:v>困境中企业无力承担原有的工资成本</c:v>
                </c:pt>
                <c:pt idx="4">
                  <c:v>线下的招聘工作难以开展</c:v>
                </c:pt>
                <c:pt idx="5">
                  <c:v>远程办公管理比较困难，或者效果不佳</c:v>
                </c:pt>
                <c:pt idx="6">
                  <c:v>集中性的培训工作不便组织</c:v>
                </c:pt>
              </c:strCache>
            </c:strRef>
          </c:cat>
          <c:val>
            <c:numRef>
              <c:f>制图页!$C$147:$C$153</c:f>
              <c:numCache>
                <c:formatCode>0.00</c:formatCode>
                <c:ptCount val="7"/>
                <c:pt idx="0">
                  <c:v>6.0615384615384613</c:v>
                </c:pt>
                <c:pt idx="1">
                  <c:v>6.2923076923076922</c:v>
                </c:pt>
                <c:pt idx="2">
                  <c:v>6.523076923076923</c:v>
                </c:pt>
                <c:pt idx="3">
                  <c:v>6.615384615384615</c:v>
                </c:pt>
                <c:pt idx="4">
                  <c:v>7.2</c:v>
                </c:pt>
                <c:pt idx="5">
                  <c:v>7.4</c:v>
                </c:pt>
                <c:pt idx="6">
                  <c:v>7.6923076923076925</c:v>
                </c:pt>
              </c:numCache>
            </c:numRef>
          </c:val>
          <c:extLst xmlns:c16r2="http://schemas.microsoft.com/office/drawing/2015/06/chart">
            <c:ext xmlns:c16="http://schemas.microsoft.com/office/drawing/2014/chart" uri="{C3380CC4-5D6E-409C-BE32-E72D297353CC}">
              <c16:uniqueId val="{00000000-5334-4463-B123-121FEE052CAF}"/>
            </c:ext>
          </c:extLst>
        </c:ser>
        <c:dLbls>
          <c:dLblPos val="outEnd"/>
          <c:showLegendKey val="0"/>
          <c:showVal val="1"/>
          <c:showCatName val="0"/>
          <c:showSerName val="0"/>
          <c:showPercent val="0"/>
          <c:showBubbleSize val="0"/>
        </c:dLbls>
        <c:gapWidth val="182"/>
        <c:axId val="-1182720736"/>
        <c:axId val="-1182707136"/>
      </c:barChart>
      <c:catAx>
        <c:axId val="-118272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7136"/>
        <c:crosses val="autoZero"/>
        <c:auto val="1"/>
        <c:lblAlgn val="ctr"/>
        <c:lblOffset val="100"/>
        <c:noMultiLvlLbl val="0"/>
      </c:catAx>
      <c:valAx>
        <c:axId val="-1182707136"/>
        <c:scaling>
          <c:orientation val="minMax"/>
        </c:scaling>
        <c:delete val="1"/>
        <c:axPos val="b"/>
        <c:numFmt formatCode="0.00" sourceLinked="1"/>
        <c:majorTickMark val="none"/>
        <c:minorTickMark val="none"/>
        <c:tickLblPos val="nextTo"/>
        <c:crossAx val="-1182720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专项设计类</c:v>
                </c:pt>
                <c:pt idx="2">
                  <c:v>交通设计类</c:v>
                </c:pt>
                <c:pt idx="3">
                  <c:v>建筑设计类</c:v>
                </c:pt>
                <c:pt idx="4">
                  <c:v>工业工程设计类</c:v>
                </c:pt>
                <c:pt idx="5">
                  <c:v>市政设计类</c:v>
                </c:pt>
                <c:pt idx="6">
                  <c:v>工程勘察类</c:v>
                </c:pt>
              </c:strCache>
            </c:strRef>
          </c:cat>
          <c:val>
            <c:numRef>
              <c:f>Sheet1!$B$2:$B$8</c:f>
              <c:numCache>
                <c:formatCode>0.00</c:formatCode>
                <c:ptCount val="7"/>
                <c:pt idx="0">
                  <c:v>6.5</c:v>
                </c:pt>
                <c:pt idx="1">
                  <c:v>6.833333333333333</c:v>
                </c:pt>
                <c:pt idx="2">
                  <c:v>7.2</c:v>
                </c:pt>
                <c:pt idx="3">
                  <c:v>7.666666666666667</c:v>
                </c:pt>
                <c:pt idx="4">
                  <c:v>7.8</c:v>
                </c:pt>
                <c:pt idx="5">
                  <c:v>8</c:v>
                </c:pt>
                <c:pt idx="6">
                  <c:v>9.0666666666666664</c:v>
                </c:pt>
              </c:numCache>
            </c:numRef>
          </c:val>
          <c:extLst xmlns:c16r2="http://schemas.microsoft.com/office/drawing/2015/06/chart">
            <c:ext xmlns:c16="http://schemas.microsoft.com/office/drawing/2014/chart" uri="{C3380CC4-5D6E-409C-BE32-E72D297353CC}">
              <c16:uniqueId val="{00000000-88D0-4732-A2BE-15BCBAB4D537}"/>
            </c:ext>
          </c:extLst>
        </c:ser>
        <c:dLbls>
          <c:showLegendKey val="0"/>
          <c:showVal val="0"/>
          <c:showCatName val="0"/>
          <c:showSerName val="0"/>
          <c:showPercent val="0"/>
          <c:showBubbleSize val="0"/>
        </c:dLbls>
        <c:gapWidth val="182"/>
        <c:axId val="-1182718560"/>
        <c:axId val="-1182716384"/>
      </c:barChart>
      <c:catAx>
        <c:axId val="-118271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6384"/>
        <c:crosses val="autoZero"/>
        <c:auto val="1"/>
        <c:lblAlgn val="ctr"/>
        <c:lblOffset val="100"/>
        <c:noMultiLvlLbl val="0"/>
      </c:catAx>
      <c:valAx>
        <c:axId val="-1182716384"/>
        <c:scaling>
          <c:orientation val="minMax"/>
        </c:scaling>
        <c:delete val="1"/>
        <c:axPos val="b"/>
        <c:numFmt formatCode="0.00" sourceLinked="1"/>
        <c:majorTickMark val="none"/>
        <c:minorTickMark val="none"/>
        <c:tickLblPos val="nextTo"/>
        <c:crossAx val="-1182718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有助于提升行业影响力</c:v>
                </c:pt>
                <c:pt idx="1">
                  <c:v>体制改革放缓</c:v>
                </c:pt>
                <c:pt idx="2">
                  <c:v>推进行业市场监管优化</c:v>
                </c:pt>
                <c:pt idx="3">
                  <c:v>加速行业重组整合</c:v>
                </c:pt>
                <c:pt idx="4">
                  <c:v>市场竞争激烈</c:v>
                </c:pt>
                <c:pt idx="5">
                  <c:v>海外拓展受阻</c:v>
                </c:pt>
                <c:pt idx="6">
                  <c:v>加速行业服务升级</c:v>
                </c:pt>
                <c:pt idx="7">
                  <c:v>市场需求萎缩</c:v>
                </c:pt>
              </c:strCache>
            </c:strRef>
          </c:cat>
          <c:val>
            <c:numRef>
              <c:f>Sheet1!$B$2:$B$9</c:f>
              <c:numCache>
                <c:formatCode>0.00</c:formatCode>
                <c:ptCount val="8"/>
                <c:pt idx="0">
                  <c:v>5.2769230769230768</c:v>
                </c:pt>
                <c:pt idx="1">
                  <c:v>5.8153846153846152</c:v>
                </c:pt>
                <c:pt idx="2">
                  <c:v>5.8307692307692305</c:v>
                </c:pt>
                <c:pt idx="3">
                  <c:v>6.1384615384615389</c:v>
                </c:pt>
                <c:pt idx="4">
                  <c:v>6.7846153846153845</c:v>
                </c:pt>
                <c:pt idx="5">
                  <c:v>6.953846153846154</c:v>
                </c:pt>
                <c:pt idx="6">
                  <c:v>7.0615384615384613</c:v>
                </c:pt>
                <c:pt idx="7">
                  <c:v>7.092307692307692</c:v>
                </c:pt>
              </c:numCache>
            </c:numRef>
          </c:val>
          <c:extLst xmlns:c16r2="http://schemas.microsoft.com/office/drawing/2015/06/chart">
            <c:ext xmlns:c16="http://schemas.microsoft.com/office/drawing/2014/chart" uri="{C3380CC4-5D6E-409C-BE32-E72D297353CC}">
              <c16:uniqueId val="{00000000-1437-457B-A556-03F430B09B25}"/>
            </c:ext>
          </c:extLst>
        </c:ser>
        <c:dLbls>
          <c:showLegendKey val="0"/>
          <c:showVal val="0"/>
          <c:showCatName val="0"/>
          <c:showSerName val="0"/>
          <c:showPercent val="0"/>
          <c:showBubbleSize val="0"/>
        </c:dLbls>
        <c:gapWidth val="182"/>
        <c:axId val="-1182704960"/>
        <c:axId val="-1182710944"/>
      </c:barChart>
      <c:catAx>
        <c:axId val="-118270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0944"/>
        <c:crosses val="autoZero"/>
        <c:auto val="1"/>
        <c:lblAlgn val="ctr"/>
        <c:lblOffset val="100"/>
        <c:noMultiLvlLbl val="0"/>
      </c:catAx>
      <c:valAx>
        <c:axId val="-1182710944"/>
        <c:scaling>
          <c:orientation val="minMax"/>
        </c:scaling>
        <c:delete val="1"/>
        <c:axPos val="b"/>
        <c:numFmt formatCode="0.00" sourceLinked="1"/>
        <c:majorTickMark val="none"/>
        <c:minorTickMark val="none"/>
        <c:tickLblPos val="nextTo"/>
        <c:crossAx val="-11827049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制图页!$B$184:$B$193</c:f>
              <c:strCache>
                <c:ptCount val="10"/>
                <c:pt idx="0">
                  <c:v>其他</c:v>
                </c:pt>
                <c:pt idx="1">
                  <c:v>城市规划</c:v>
                </c:pt>
                <c:pt idx="2">
                  <c:v>能源合同管理</c:v>
                </c:pt>
                <c:pt idx="3">
                  <c:v>全过程工程咨询</c:v>
                </c:pt>
                <c:pt idx="4">
                  <c:v>PPP</c:v>
                </c:pt>
                <c:pt idx="5">
                  <c:v>工程勘察</c:v>
                </c:pt>
                <c:pt idx="6">
                  <c:v>投资运营</c:v>
                </c:pt>
                <c:pt idx="7">
                  <c:v>工程设计</c:v>
                </c:pt>
                <c:pt idx="8">
                  <c:v>设计施工一体化</c:v>
                </c:pt>
                <c:pt idx="9">
                  <c:v>工程总承包</c:v>
                </c:pt>
              </c:strCache>
            </c:strRef>
          </c:cat>
          <c:val>
            <c:numRef>
              <c:f>制图页!$C$184:$C$193</c:f>
              <c:numCache>
                <c:formatCode>0.00</c:formatCode>
                <c:ptCount val="10"/>
                <c:pt idx="0">
                  <c:v>5.6307692307692312</c:v>
                </c:pt>
                <c:pt idx="1">
                  <c:v>5.8</c:v>
                </c:pt>
                <c:pt idx="2">
                  <c:v>6.1076923076923073</c:v>
                </c:pt>
                <c:pt idx="3">
                  <c:v>6.6769230769230772</c:v>
                </c:pt>
                <c:pt idx="4">
                  <c:v>6.6923076923076925</c:v>
                </c:pt>
                <c:pt idx="5">
                  <c:v>6.8923076923076927</c:v>
                </c:pt>
                <c:pt idx="6">
                  <c:v>6.9846153846153847</c:v>
                </c:pt>
                <c:pt idx="7">
                  <c:v>7</c:v>
                </c:pt>
                <c:pt idx="8">
                  <c:v>7.6</c:v>
                </c:pt>
                <c:pt idx="9">
                  <c:v>7.7538461538461538</c:v>
                </c:pt>
              </c:numCache>
            </c:numRef>
          </c:val>
          <c:extLst xmlns:c16r2="http://schemas.microsoft.com/office/drawing/2015/06/chart">
            <c:ext xmlns:c16="http://schemas.microsoft.com/office/drawing/2014/chart" uri="{C3380CC4-5D6E-409C-BE32-E72D297353CC}">
              <c16:uniqueId val="{00000000-304F-4DD2-B563-7237898B5E94}"/>
            </c:ext>
          </c:extLst>
        </c:ser>
        <c:dLbls>
          <c:dLblPos val="outEnd"/>
          <c:showLegendKey val="0"/>
          <c:showVal val="1"/>
          <c:showCatName val="0"/>
          <c:showSerName val="0"/>
          <c:showPercent val="0"/>
          <c:showBubbleSize val="0"/>
        </c:dLbls>
        <c:gapWidth val="182"/>
        <c:axId val="-1182699520"/>
        <c:axId val="-1182719104"/>
      </c:barChart>
      <c:catAx>
        <c:axId val="-118269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使用中文字体)"/>
                <a:ea typeface="华文楷体" panose="02010600040101010101" pitchFamily="2" charset="-122"/>
                <a:cs typeface="+mn-cs"/>
              </a:defRPr>
            </a:pPr>
            <a:endParaRPr lang="zh-CN"/>
          </a:p>
        </c:txPr>
        <c:crossAx val="-1182719104"/>
        <c:crosses val="autoZero"/>
        <c:auto val="1"/>
        <c:lblAlgn val="ctr"/>
        <c:lblOffset val="100"/>
        <c:noMultiLvlLbl val="0"/>
      </c:catAx>
      <c:valAx>
        <c:axId val="-1182719104"/>
        <c:scaling>
          <c:orientation val="minMax"/>
        </c:scaling>
        <c:delete val="1"/>
        <c:axPos val="b"/>
        <c:numFmt formatCode="0.00" sourceLinked="1"/>
        <c:majorTickMark val="none"/>
        <c:minorTickMark val="none"/>
        <c:tickLblPos val="nextTo"/>
        <c:crossAx val="-1182699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制图页!$B$199:$B$208</c:f>
              <c:strCache>
                <c:ptCount val="10"/>
                <c:pt idx="0">
                  <c:v>破产清算</c:v>
                </c:pt>
                <c:pt idx="1">
                  <c:v>其他</c:v>
                </c:pt>
                <c:pt idx="2">
                  <c:v>适当降薪，缩减企业人员、规模</c:v>
                </c:pt>
                <c:pt idx="3">
                  <c:v>申请贷款或政策性补贴</c:v>
                </c:pt>
                <c:pt idx="4">
                  <c:v>调整业务机构</c:v>
                </c:pt>
                <c:pt idx="5">
                  <c:v>拓展新业务领域</c:v>
                </c:pt>
                <c:pt idx="6">
                  <c:v>加大自主创新力度</c:v>
                </c:pt>
                <c:pt idx="7">
                  <c:v>创新服务模式</c:v>
                </c:pt>
                <c:pt idx="8">
                  <c:v>调整经营方式</c:v>
                </c:pt>
                <c:pt idx="9">
                  <c:v>远程办公</c:v>
                </c:pt>
              </c:strCache>
            </c:strRef>
          </c:cat>
          <c:val>
            <c:numRef>
              <c:f>制图页!$C$199:$C$208</c:f>
              <c:numCache>
                <c:formatCode>0.0%</c:formatCode>
                <c:ptCount val="10"/>
                <c:pt idx="0">
                  <c:v>1.5384615384615385E-2</c:v>
                </c:pt>
                <c:pt idx="1">
                  <c:v>3.0769230769230771E-2</c:v>
                </c:pt>
                <c:pt idx="2">
                  <c:v>0.1076923076923077</c:v>
                </c:pt>
                <c:pt idx="3">
                  <c:v>0.16923076923076924</c:v>
                </c:pt>
                <c:pt idx="4">
                  <c:v>0.24615384615384617</c:v>
                </c:pt>
                <c:pt idx="5">
                  <c:v>0.4</c:v>
                </c:pt>
                <c:pt idx="6">
                  <c:v>0.43076923076923079</c:v>
                </c:pt>
                <c:pt idx="7">
                  <c:v>0.58461538461538465</c:v>
                </c:pt>
                <c:pt idx="8">
                  <c:v>0.6</c:v>
                </c:pt>
                <c:pt idx="9">
                  <c:v>0.90769230769230769</c:v>
                </c:pt>
              </c:numCache>
            </c:numRef>
          </c:val>
          <c:extLst xmlns:c16r2="http://schemas.microsoft.com/office/drawing/2015/06/chart">
            <c:ext xmlns:c16="http://schemas.microsoft.com/office/drawing/2014/chart" uri="{C3380CC4-5D6E-409C-BE32-E72D297353CC}">
              <c16:uniqueId val="{00000000-A099-4734-82FF-44214CAD5D1F}"/>
            </c:ext>
          </c:extLst>
        </c:ser>
        <c:dLbls>
          <c:dLblPos val="outEnd"/>
          <c:showLegendKey val="0"/>
          <c:showVal val="1"/>
          <c:showCatName val="0"/>
          <c:showSerName val="0"/>
          <c:showPercent val="0"/>
          <c:showBubbleSize val="0"/>
        </c:dLbls>
        <c:gapWidth val="182"/>
        <c:axId val="-1182727808"/>
        <c:axId val="-1182715840"/>
      </c:barChart>
      <c:catAx>
        <c:axId val="-118272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5840"/>
        <c:crosses val="autoZero"/>
        <c:auto val="1"/>
        <c:lblAlgn val="ctr"/>
        <c:lblOffset val="100"/>
        <c:noMultiLvlLbl val="0"/>
      </c:catAx>
      <c:valAx>
        <c:axId val="-1182715840"/>
        <c:scaling>
          <c:orientation val="minMax"/>
        </c:scaling>
        <c:delete val="1"/>
        <c:axPos val="b"/>
        <c:numFmt formatCode="0.0%" sourceLinked="1"/>
        <c:majorTickMark val="none"/>
        <c:minorTickMark val="none"/>
        <c:tickLblPos val="nextTo"/>
        <c:crossAx val="-1182727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制图页!$B$214:$B$225</c:f>
              <c:strCache>
                <c:ptCount val="12"/>
                <c:pt idx="0">
                  <c:v>组织架构模式</c:v>
                </c:pt>
                <c:pt idx="1">
                  <c:v>企业薪酬体系</c:v>
                </c:pt>
                <c:pt idx="2">
                  <c:v>产品开发与升级</c:v>
                </c:pt>
                <c:pt idx="3">
                  <c:v>生产方式</c:v>
                </c:pt>
                <c:pt idx="4">
                  <c:v>公司治理</c:v>
                </c:pt>
                <c:pt idx="5">
                  <c:v>人才管理</c:v>
                </c:pt>
                <c:pt idx="6">
                  <c:v>市场推广与开拓方式</c:v>
                </c:pt>
                <c:pt idx="7">
                  <c:v>内部精细化管理</c:v>
                </c:pt>
                <c:pt idx="8">
                  <c:v>客户服务方式</c:v>
                </c:pt>
                <c:pt idx="9">
                  <c:v>风险管理</c:v>
                </c:pt>
                <c:pt idx="10">
                  <c:v>办公方式</c:v>
                </c:pt>
                <c:pt idx="11">
                  <c:v>信息化应用水平</c:v>
                </c:pt>
              </c:strCache>
            </c:strRef>
          </c:cat>
          <c:val>
            <c:numRef>
              <c:f>制图页!$C$214:$C$225</c:f>
              <c:numCache>
                <c:formatCode>0.00</c:formatCode>
                <c:ptCount val="12"/>
                <c:pt idx="0">
                  <c:v>6.2307692307692308</c:v>
                </c:pt>
                <c:pt idx="1">
                  <c:v>6.6461538461538465</c:v>
                </c:pt>
                <c:pt idx="2">
                  <c:v>6.8307692307692305</c:v>
                </c:pt>
                <c:pt idx="3">
                  <c:v>7.0615384615384613</c:v>
                </c:pt>
                <c:pt idx="4">
                  <c:v>7.1538461538461542</c:v>
                </c:pt>
                <c:pt idx="5">
                  <c:v>7.2923076923076922</c:v>
                </c:pt>
                <c:pt idx="6">
                  <c:v>7.384615384615385</c:v>
                </c:pt>
                <c:pt idx="7">
                  <c:v>7.4</c:v>
                </c:pt>
                <c:pt idx="8">
                  <c:v>7.4153846153846157</c:v>
                </c:pt>
                <c:pt idx="9">
                  <c:v>7.6307692307692312</c:v>
                </c:pt>
                <c:pt idx="10">
                  <c:v>7.8769230769230774</c:v>
                </c:pt>
                <c:pt idx="11">
                  <c:v>8.0153846153846153</c:v>
                </c:pt>
              </c:numCache>
            </c:numRef>
          </c:val>
          <c:extLst xmlns:c16r2="http://schemas.microsoft.com/office/drawing/2015/06/chart">
            <c:ext xmlns:c16="http://schemas.microsoft.com/office/drawing/2014/chart" uri="{C3380CC4-5D6E-409C-BE32-E72D297353CC}">
              <c16:uniqueId val="{00000000-C2CA-467C-B101-8C2962EB23EF}"/>
            </c:ext>
          </c:extLst>
        </c:ser>
        <c:dLbls>
          <c:dLblPos val="outEnd"/>
          <c:showLegendKey val="0"/>
          <c:showVal val="1"/>
          <c:showCatName val="0"/>
          <c:showSerName val="0"/>
          <c:showPercent val="0"/>
          <c:showBubbleSize val="0"/>
        </c:dLbls>
        <c:gapWidth val="182"/>
        <c:axId val="-1182703328"/>
        <c:axId val="-1182700064"/>
      </c:barChart>
      <c:catAx>
        <c:axId val="-118270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0064"/>
        <c:crosses val="autoZero"/>
        <c:auto val="1"/>
        <c:lblAlgn val="ctr"/>
        <c:lblOffset val="100"/>
        <c:noMultiLvlLbl val="0"/>
      </c:catAx>
      <c:valAx>
        <c:axId val="-1182700064"/>
        <c:scaling>
          <c:orientation val="minMax"/>
        </c:scaling>
        <c:delete val="1"/>
        <c:axPos val="b"/>
        <c:numFmt formatCode="0.00" sourceLinked="1"/>
        <c:majorTickMark val="none"/>
        <c:minorTickMark val="none"/>
        <c:tickLblPos val="nextTo"/>
        <c:crossAx val="-1182703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借助人才测评工具，更加精准地识人用人</c:v>
                </c:pt>
                <c:pt idx="1">
                  <c:v>尝试线上招聘</c:v>
                </c:pt>
                <c:pt idx="2">
                  <c:v>开展人才盘点，摸清现有人才
情况，以便针对性的进行能力提升</c:v>
                </c:pt>
                <c:pt idx="3">
                  <c:v>重构人才标准，从关注技术向
关注技术+能力素质+内在特质转变</c:v>
                </c:pt>
                <c:pt idx="4">
                  <c:v>探索适宜远程办公和业务受阻期间
的人才管理、评估、激励办法</c:v>
                </c:pt>
                <c:pt idx="5">
                  <c:v>组织线上培训或者建立在线学习平台</c:v>
                </c:pt>
                <c:pt idx="6">
                  <c:v>加强人才管理信息化建设，积累
人才数据，提升人才管理效率和科学性</c:v>
                </c:pt>
                <c:pt idx="7">
                  <c:v>关注员工心理状态，增强人文关怀</c:v>
                </c:pt>
              </c:strCache>
            </c:strRef>
          </c:cat>
          <c:val>
            <c:numRef>
              <c:f>Sheet1!$B$2:$B$9</c:f>
              <c:numCache>
                <c:formatCode>0.00</c:formatCode>
                <c:ptCount val="8"/>
                <c:pt idx="0">
                  <c:v>6.8615384615384611</c:v>
                </c:pt>
                <c:pt idx="1">
                  <c:v>7.0153846153846153</c:v>
                </c:pt>
                <c:pt idx="2">
                  <c:v>7.2615384615384615</c:v>
                </c:pt>
                <c:pt idx="3">
                  <c:v>7.5846153846153843</c:v>
                </c:pt>
                <c:pt idx="4">
                  <c:v>7.6307692307692312</c:v>
                </c:pt>
                <c:pt idx="5">
                  <c:v>7.6923076923076925</c:v>
                </c:pt>
                <c:pt idx="6">
                  <c:v>7.7384615384615385</c:v>
                </c:pt>
                <c:pt idx="7">
                  <c:v>7.8461538461538458</c:v>
                </c:pt>
              </c:numCache>
            </c:numRef>
          </c:val>
          <c:extLst xmlns:c16r2="http://schemas.microsoft.com/office/drawing/2015/06/chart">
            <c:ext xmlns:c16="http://schemas.microsoft.com/office/drawing/2014/chart" uri="{C3380CC4-5D6E-409C-BE32-E72D297353CC}">
              <c16:uniqueId val="{00000000-6BE7-49E6-8268-32C9F296F5BA}"/>
            </c:ext>
          </c:extLst>
        </c:ser>
        <c:dLbls>
          <c:showLegendKey val="0"/>
          <c:showVal val="0"/>
          <c:showCatName val="0"/>
          <c:showSerName val="0"/>
          <c:showPercent val="0"/>
          <c:showBubbleSize val="0"/>
        </c:dLbls>
        <c:gapWidth val="182"/>
        <c:axId val="-1182725632"/>
        <c:axId val="-378214176"/>
      </c:barChart>
      <c:catAx>
        <c:axId val="-118272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378214176"/>
        <c:crosses val="autoZero"/>
        <c:auto val="1"/>
        <c:lblAlgn val="ctr"/>
        <c:lblOffset val="100"/>
        <c:noMultiLvlLbl val="0"/>
      </c:catAx>
      <c:valAx>
        <c:axId val="-378214176"/>
        <c:scaling>
          <c:orientation val="minMax"/>
        </c:scaling>
        <c:delete val="1"/>
        <c:axPos val="b"/>
        <c:numFmt formatCode="0.00" sourceLinked="1"/>
        <c:majorTickMark val="none"/>
        <c:minorTickMark val="none"/>
        <c:tickLblPos val="nextTo"/>
        <c:crossAx val="-11827256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制图页!$B$244:$B$250</c:f>
              <c:strCache>
                <c:ptCount val="7"/>
                <c:pt idx="0">
                  <c:v>其他</c:v>
                </c:pt>
                <c:pt idx="1">
                  <c:v>加大对基础设施的投资</c:v>
                </c:pt>
                <c:pt idx="2">
                  <c:v>出台相关刺激和促进消费的政策</c:v>
                </c:pt>
                <c:pt idx="3">
                  <c:v>推行灵活的用工制度</c:v>
                </c:pt>
                <c:pt idx="4">
                  <c:v>加大对企业的财政、金融政策支持，探索和发挥应急转贷资金作用</c:v>
                </c:pt>
                <c:pt idx="5">
                  <c:v>在保障疫情防控的基础上尽力恢复和推动企业复工复产</c:v>
                </c:pt>
                <c:pt idx="6">
                  <c:v>减轻企业负担，实施援企稳岗、减轻税费等政策</c:v>
                </c:pt>
              </c:strCache>
            </c:strRef>
          </c:cat>
          <c:val>
            <c:numRef>
              <c:f>制图页!$C$244:$C$250</c:f>
              <c:numCache>
                <c:formatCode>0.0%</c:formatCode>
                <c:ptCount val="7"/>
                <c:pt idx="0">
                  <c:v>0</c:v>
                </c:pt>
                <c:pt idx="1">
                  <c:v>0.32307692307692309</c:v>
                </c:pt>
                <c:pt idx="2">
                  <c:v>0.32307692307692309</c:v>
                </c:pt>
                <c:pt idx="3">
                  <c:v>0.52307692307692311</c:v>
                </c:pt>
                <c:pt idx="4">
                  <c:v>0.55384615384615388</c:v>
                </c:pt>
                <c:pt idx="5">
                  <c:v>0.87692307692307692</c:v>
                </c:pt>
                <c:pt idx="6">
                  <c:v>0.90769230769230769</c:v>
                </c:pt>
              </c:numCache>
            </c:numRef>
          </c:val>
          <c:extLst xmlns:c16r2="http://schemas.microsoft.com/office/drawing/2015/06/chart">
            <c:ext xmlns:c16="http://schemas.microsoft.com/office/drawing/2014/chart" uri="{C3380CC4-5D6E-409C-BE32-E72D297353CC}">
              <c16:uniqueId val="{00000000-6CF1-4E02-BC90-22715A689961}"/>
            </c:ext>
          </c:extLst>
        </c:ser>
        <c:dLbls>
          <c:dLblPos val="outEnd"/>
          <c:showLegendKey val="0"/>
          <c:showVal val="1"/>
          <c:showCatName val="0"/>
          <c:showSerName val="0"/>
          <c:showPercent val="0"/>
          <c:showBubbleSize val="0"/>
        </c:dLbls>
        <c:gapWidth val="182"/>
        <c:axId val="-378208192"/>
        <c:axId val="-378205472"/>
      </c:barChart>
      <c:catAx>
        <c:axId val="-37820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378205472"/>
        <c:crosses val="autoZero"/>
        <c:auto val="1"/>
        <c:lblAlgn val="ctr"/>
        <c:lblOffset val="100"/>
        <c:noMultiLvlLbl val="0"/>
      </c:catAx>
      <c:valAx>
        <c:axId val="-378205472"/>
        <c:scaling>
          <c:orientation val="minMax"/>
        </c:scaling>
        <c:delete val="1"/>
        <c:axPos val="b"/>
        <c:numFmt formatCode="0.0%" sourceLinked="1"/>
        <c:majorTickMark val="none"/>
        <c:minorTickMark val="none"/>
        <c:tickLblPos val="nextTo"/>
        <c:crossAx val="-378208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24-4AB3-AE5B-FDF7101CF3B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5D24-4AB3-AE5B-FDF7101CF3B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24-4AB3-AE5B-FDF7101CF3B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5D24-4AB3-AE5B-FDF7101CF3B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37E-4C69-98D3-5D3BA8F6E7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5D24-4AB3-AE5B-FDF7101CF3B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5D24-4AB3-AE5B-FDF7101CF3BA}"/>
              </c:ext>
            </c:extLst>
          </c:dPt>
          <c:dLbls>
            <c:dLbl>
              <c:idx val="0"/>
              <c:layout>
                <c:manualLayout>
                  <c:x val="-0.15376767048855736"/>
                  <c:y val="0.1901632370303154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D24-4AB3-AE5B-FDF7101CF3BA}"/>
                </c:ext>
                <c:ext xmlns:c15="http://schemas.microsoft.com/office/drawing/2012/chart" uri="{CE6537A1-D6FC-4f65-9D91-7224C49458BB}"/>
              </c:extLst>
            </c:dLbl>
            <c:dLbl>
              <c:idx val="1"/>
              <c:layout>
                <c:manualLayout>
                  <c:x val="-0.11858164111065064"/>
                  <c:y val="-0.18773644000819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D24-4AB3-AE5B-FDF7101CF3BA}"/>
                </c:ext>
                <c:ext xmlns:c15="http://schemas.microsoft.com/office/drawing/2012/chart" uri="{CE6537A1-D6FC-4f65-9D91-7224C49458BB}"/>
              </c:extLst>
            </c:dLbl>
            <c:dLbl>
              <c:idx val="2"/>
              <c:layout>
                <c:manualLayout>
                  <c:x val="0.15433986573179367"/>
                  <c:y val="-0.1837855572107540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D24-4AB3-AE5B-FDF7101CF3BA}"/>
                </c:ext>
                <c:ext xmlns:c15="http://schemas.microsoft.com/office/drawing/2012/chart" uri="{CE6537A1-D6FC-4f65-9D91-7224C49458BB}"/>
              </c:extLst>
            </c:dLbl>
            <c:dLbl>
              <c:idx val="3"/>
              <c:layout>
                <c:manualLayout>
                  <c:x val="0.20698897424840146"/>
                  <c:y val="4.523905795559338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5D24-4AB3-AE5B-FDF7101CF3BA}"/>
                </c:ext>
                <c:ext xmlns:c15="http://schemas.microsoft.com/office/drawing/2012/chart" uri="{CE6537A1-D6FC-4f65-9D91-7224C49458BB}"/>
              </c:extLst>
            </c:dLbl>
            <c:dLbl>
              <c:idx val="5"/>
              <c:layout>
                <c:manualLayout>
                  <c:x val="-6.4921499417035095E-3"/>
                  <c:y val="2.435553663900120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D24-4AB3-AE5B-FDF7101CF3BA}"/>
                </c:ext>
                <c:ext xmlns:c15="http://schemas.microsoft.com/office/drawing/2012/chart" uri="{CE6537A1-D6FC-4f65-9D91-7224C49458BB}"/>
              </c:extLst>
            </c:dLbl>
            <c:dLbl>
              <c:idx val="6"/>
              <c:layout>
                <c:manualLayout>
                  <c:x val="0.15154142243375765"/>
                  <c:y val="-1.432184152656593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5D24-4AB3-AE5B-FDF7101CF3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工业工程设计类</c:v>
                </c:pt>
                <c:pt idx="1">
                  <c:v>工程勘察类</c:v>
                </c:pt>
                <c:pt idx="2">
                  <c:v>建筑设计类</c:v>
                </c:pt>
                <c:pt idx="3">
                  <c:v>专项设计类</c:v>
                </c:pt>
                <c:pt idx="4">
                  <c:v>其他</c:v>
                </c:pt>
                <c:pt idx="5">
                  <c:v>交通设计类</c:v>
                </c:pt>
                <c:pt idx="6">
                  <c:v>市政设计类</c:v>
                </c:pt>
              </c:strCache>
            </c:strRef>
          </c:cat>
          <c:val>
            <c:numRef>
              <c:f>Sheet1!$B$2:$B$8</c:f>
              <c:numCache>
                <c:formatCode>0.0%</c:formatCode>
                <c:ptCount val="7"/>
                <c:pt idx="0">
                  <c:v>0.308</c:v>
                </c:pt>
                <c:pt idx="1">
                  <c:v>0.23100000000000001</c:v>
                </c:pt>
                <c:pt idx="2">
                  <c:v>0.185</c:v>
                </c:pt>
                <c:pt idx="3">
                  <c:v>9.1999999999999998E-2</c:v>
                </c:pt>
                <c:pt idx="4">
                  <c:v>9.1999999999999998E-2</c:v>
                </c:pt>
                <c:pt idx="5">
                  <c:v>7.6999999999999999E-2</c:v>
                </c:pt>
                <c:pt idx="6">
                  <c:v>1.4999999999999999E-2</c:v>
                </c:pt>
              </c:numCache>
            </c:numRef>
          </c:val>
          <c:extLst xmlns:c16r2="http://schemas.microsoft.com/office/drawing/2015/06/chart">
            <c:ext xmlns:c16="http://schemas.microsoft.com/office/drawing/2014/chart" uri="{C3380CC4-5D6E-409C-BE32-E72D297353CC}">
              <c16:uniqueId val="{00000000-5D24-4AB3-AE5B-FDF7101CF3B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制图页!$B$39:$B$51</c:f>
              <c:strCache>
                <c:ptCount val="13"/>
                <c:pt idx="0">
                  <c:v>人才招聘压力增大</c:v>
                </c:pt>
                <c:pt idx="1">
                  <c:v>服务产品开发</c:v>
                </c:pt>
                <c:pt idx="2">
                  <c:v>促进企业公司治理优化</c:v>
                </c:pt>
                <c:pt idx="3">
                  <c:v>促进企业业务转型升级</c:v>
                </c:pt>
                <c:pt idx="4">
                  <c:v>促进企业凝聚力加强</c:v>
                </c:pt>
                <c:pt idx="5">
                  <c:v>促进企业内部管理精细度提升</c:v>
                </c:pt>
                <c:pt idx="6">
                  <c:v>线上工作统筹安排困难，内部信息化需升级</c:v>
                </c:pt>
                <c:pt idx="7">
                  <c:v>促进企业信息化建设进度加快</c:v>
                </c:pt>
                <c:pt idx="8">
                  <c:v>生产组织协作难</c:v>
                </c:pt>
                <c:pt idx="9">
                  <c:v>企业经营成本增加</c:v>
                </c:pt>
                <c:pt idx="10">
                  <c:v>企业回款困难，现金流压力增大</c:v>
                </c:pt>
                <c:pt idx="11">
                  <c:v>企业市场开发压力增长</c:v>
                </c:pt>
                <c:pt idx="12">
                  <c:v>客户服务进度延迟</c:v>
                </c:pt>
              </c:strCache>
            </c:strRef>
          </c:cat>
          <c:val>
            <c:numRef>
              <c:f>制图页!$C$39:$C$51</c:f>
              <c:numCache>
                <c:formatCode>0.00</c:formatCode>
                <c:ptCount val="13"/>
                <c:pt idx="0">
                  <c:v>5.6</c:v>
                </c:pt>
                <c:pt idx="1">
                  <c:v>5.6769230769230772</c:v>
                </c:pt>
                <c:pt idx="2">
                  <c:v>6.092307692307692</c:v>
                </c:pt>
                <c:pt idx="3">
                  <c:v>6.1846153846153848</c:v>
                </c:pt>
                <c:pt idx="4">
                  <c:v>6.7076923076923078</c:v>
                </c:pt>
                <c:pt idx="5">
                  <c:v>7.0615384615384613</c:v>
                </c:pt>
                <c:pt idx="6">
                  <c:v>7.2461538461538462</c:v>
                </c:pt>
                <c:pt idx="7">
                  <c:v>7.3384615384615381</c:v>
                </c:pt>
                <c:pt idx="8">
                  <c:v>7.4153846153846157</c:v>
                </c:pt>
                <c:pt idx="9">
                  <c:v>7.476923076923077</c:v>
                </c:pt>
                <c:pt idx="10">
                  <c:v>7.7384615384615385</c:v>
                </c:pt>
                <c:pt idx="11">
                  <c:v>7.8769230769230774</c:v>
                </c:pt>
                <c:pt idx="12">
                  <c:v>8.2153846153846146</c:v>
                </c:pt>
              </c:numCache>
            </c:numRef>
          </c:val>
          <c:extLst xmlns:c16r2="http://schemas.microsoft.com/office/drawing/2015/06/chart">
            <c:ext xmlns:c16="http://schemas.microsoft.com/office/drawing/2014/chart" uri="{C3380CC4-5D6E-409C-BE32-E72D297353CC}">
              <c16:uniqueId val="{00000000-723C-4B15-A737-18A9C78C20EC}"/>
            </c:ext>
          </c:extLst>
        </c:ser>
        <c:dLbls>
          <c:dLblPos val="outEnd"/>
          <c:showLegendKey val="0"/>
          <c:showVal val="1"/>
          <c:showCatName val="0"/>
          <c:showSerName val="0"/>
          <c:showPercent val="0"/>
          <c:showBubbleSize val="0"/>
        </c:dLbls>
        <c:gapWidth val="182"/>
        <c:axId val="-991051664"/>
        <c:axId val="-1182709856"/>
      </c:barChart>
      <c:catAx>
        <c:axId val="-99105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9856"/>
        <c:crosses val="autoZero"/>
        <c:auto val="1"/>
        <c:lblAlgn val="ctr"/>
        <c:lblOffset val="100"/>
        <c:noMultiLvlLbl val="0"/>
      </c:catAx>
      <c:valAx>
        <c:axId val="-1182709856"/>
        <c:scaling>
          <c:orientation val="minMax"/>
        </c:scaling>
        <c:delete val="1"/>
        <c:axPos val="b"/>
        <c:numFmt formatCode="0.00" sourceLinked="1"/>
        <c:majorTickMark val="none"/>
        <c:minorTickMark val="none"/>
        <c:tickLblPos val="nextTo"/>
        <c:crossAx val="-99105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制图页!$A$57:$A$62</c:f>
              <c:strCache>
                <c:ptCount val="6"/>
                <c:pt idx="0">
                  <c:v>1个月</c:v>
                </c:pt>
                <c:pt idx="1">
                  <c:v>2至3个月</c:v>
                </c:pt>
                <c:pt idx="2">
                  <c:v>3至6个月</c:v>
                </c:pt>
                <c:pt idx="3">
                  <c:v>6至9个月</c:v>
                </c:pt>
                <c:pt idx="4">
                  <c:v>9至12个月</c:v>
                </c:pt>
                <c:pt idx="5">
                  <c:v>12个月以上</c:v>
                </c:pt>
              </c:strCache>
            </c:strRef>
          </c:cat>
          <c:val>
            <c:numRef>
              <c:f>制图页!$B$57:$B$62</c:f>
              <c:numCache>
                <c:formatCode>0.0%</c:formatCode>
                <c:ptCount val="6"/>
                <c:pt idx="0">
                  <c:v>0.12307692307692308</c:v>
                </c:pt>
                <c:pt idx="1">
                  <c:v>0.29230769230769232</c:v>
                </c:pt>
                <c:pt idx="2">
                  <c:v>0.30769230769230771</c:v>
                </c:pt>
                <c:pt idx="3">
                  <c:v>9.2307692307692313E-2</c:v>
                </c:pt>
                <c:pt idx="4">
                  <c:v>7.6923076923076927E-2</c:v>
                </c:pt>
                <c:pt idx="5">
                  <c:v>0.1076923076923077</c:v>
                </c:pt>
              </c:numCache>
            </c:numRef>
          </c:val>
          <c:extLst xmlns:c16r2="http://schemas.microsoft.com/office/drawing/2015/06/chart">
            <c:ext xmlns:c16="http://schemas.microsoft.com/office/drawing/2014/chart" uri="{C3380CC4-5D6E-409C-BE32-E72D297353CC}">
              <c16:uniqueId val="{00000000-A8BC-4289-92FF-5894FECBB9A3}"/>
            </c:ext>
          </c:extLst>
        </c:ser>
        <c:dLbls>
          <c:dLblPos val="outEnd"/>
          <c:showLegendKey val="0"/>
          <c:showVal val="1"/>
          <c:showCatName val="0"/>
          <c:showSerName val="0"/>
          <c:showPercent val="0"/>
          <c:showBubbleSize val="0"/>
        </c:dLbls>
        <c:gapWidth val="182"/>
        <c:axId val="-1182721824"/>
        <c:axId val="-1182697344"/>
      </c:barChart>
      <c:catAx>
        <c:axId val="-118272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697344"/>
        <c:crosses val="autoZero"/>
        <c:auto val="1"/>
        <c:lblAlgn val="ctr"/>
        <c:lblOffset val="100"/>
        <c:noMultiLvlLbl val="0"/>
      </c:catAx>
      <c:valAx>
        <c:axId val="-1182697344"/>
        <c:scaling>
          <c:orientation val="minMax"/>
        </c:scaling>
        <c:delete val="1"/>
        <c:axPos val="b"/>
        <c:numFmt formatCode="0.0%" sourceLinked="1"/>
        <c:majorTickMark val="none"/>
        <c:minorTickMark val="none"/>
        <c:tickLblPos val="nextTo"/>
        <c:crossAx val="-1182721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1个月</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1-A643-447D-8063-2C15676A0F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Sheet1!$B$2:$B$8</c:f>
              <c:numCache>
                <c:formatCode>0.0%</c:formatCode>
                <c:ptCount val="7"/>
                <c:pt idx="0">
                  <c:v>0.16666666666666666</c:v>
                </c:pt>
                <c:pt idx="1">
                  <c:v>0</c:v>
                </c:pt>
                <c:pt idx="2">
                  <c:v>0</c:v>
                </c:pt>
                <c:pt idx="3">
                  <c:v>0.05</c:v>
                </c:pt>
                <c:pt idx="4">
                  <c:v>0.2</c:v>
                </c:pt>
                <c:pt idx="5">
                  <c:v>0.16666666666666666</c:v>
                </c:pt>
                <c:pt idx="6">
                  <c:v>0.16666666666666666</c:v>
                </c:pt>
              </c:numCache>
            </c:numRef>
          </c:val>
          <c:extLst xmlns:c16r2="http://schemas.microsoft.com/office/drawing/2015/06/chart">
            <c:ext xmlns:c16="http://schemas.microsoft.com/office/drawing/2014/chart" uri="{C3380CC4-5D6E-409C-BE32-E72D297353CC}">
              <c16:uniqueId val="{00000000-0A3A-493C-8209-018EE02EF23E}"/>
            </c:ext>
          </c:extLst>
        </c:ser>
        <c:ser>
          <c:idx val="1"/>
          <c:order val="1"/>
          <c:tx>
            <c:strRef>
              <c:f>Sheet1!$C$1</c:f>
              <c:strCache>
                <c:ptCount val="1"/>
                <c:pt idx="0">
                  <c:v>2至3个月</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Sheet1!$C$2:$C$8</c:f>
              <c:numCache>
                <c:formatCode>0.0%</c:formatCode>
                <c:ptCount val="7"/>
                <c:pt idx="0">
                  <c:v>0.25</c:v>
                </c:pt>
                <c:pt idx="1">
                  <c:v>1</c:v>
                </c:pt>
                <c:pt idx="2">
                  <c:v>0.2</c:v>
                </c:pt>
                <c:pt idx="3">
                  <c:v>0.2</c:v>
                </c:pt>
                <c:pt idx="4">
                  <c:v>0.33333333333333331</c:v>
                </c:pt>
                <c:pt idx="5">
                  <c:v>0.5</c:v>
                </c:pt>
                <c:pt idx="6">
                  <c:v>0.33333333333333331</c:v>
                </c:pt>
              </c:numCache>
            </c:numRef>
          </c:val>
          <c:extLst xmlns:c16r2="http://schemas.microsoft.com/office/drawing/2015/06/chart">
            <c:ext xmlns:c16="http://schemas.microsoft.com/office/drawing/2014/chart" uri="{C3380CC4-5D6E-409C-BE32-E72D297353CC}">
              <c16:uniqueId val="{00000001-0A3A-493C-8209-018EE02EF23E}"/>
            </c:ext>
          </c:extLst>
        </c:ser>
        <c:ser>
          <c:idx val="2"/>
          <c:order val="2"/>
          <c:tx>
            <c:strRef>
              <c:f>Sheet1!$D$1</c:f>
              <c:strCache>
                <c:ptCount val="1"/>
                <c:pt idx="0">
                  <c:v>3至6个月</c:v>
                </c:pt>
              </c:strCache>
            </c:strRef>
          </c:tx>
          <c:spPr>
            <a:solidFill>
              <a:schemeClr val="accent3"/>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A643-447D-8063-2C15676A0F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Sheet1!$D$2:$D$8</c:f>
              <c:numCache>
                <c:formatCode>0.0%</c:formatCode>
                <c:ptCount val="7"/>
                <c:pt idx="0">
                  <c:v>0.33333333333333331</c:v>
                </c:pt>
                <c:pt idx="1">
                  <c:v>0</c:v>
                </c:pt>
                <c:pt idx="2">
                  <c:v>0.2</c:v>
                </c:pt>
                <c:pt idx="3">
                  <c:v>0.35</c:v>
                </c:pt>
                <c:pt idx="4">
                  <c:v>0.2</c:v>
                </c:pt>
                <c:pt idx="5">
                  <c:v>0.33333333333333331</c:v>
                </c:pt>
                <c:pt idx="6">
                  <c:v>0.5</c:v>
                </c:pt>
              </c:numCache>
            </c:numRef>
          </c:val>
          <c:extLst xmlns:c16r2="http://schemas.microsoft.com/office/drawing/2015/06/chart">
            <c:ext xmlns:c16="http://schemas.microsoft.com/office/drawing/2014/chart" uri="{C3380CC4-5D6E-409C-BE32-E72D297353CC}">
              <c16:uniqueId val="{00000002-0A3A-493C-8209-018EE02EF23E}"/>
            </c:ext>
          </c:extLst>
        </c:ser>
        <c:ser>
          <c:idx val="3"/>
          <c:order val="3"/>
          <c:tx>
            <c:strRef>
              <c:f>Sheet1!$E$1</c:f>
              <c:strCache>
                <c:ptCount val="1"/>
                <c:pt idx="0">
                  <c:v>6至9个月</c:v>
                </c:pt>
              </c:strCache>
            </c:strRef>
          </c:tx>
          <c:spPr>
            <a:solidFill>
              <a:schemeClr val="accent4"/>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Sheet1!$E$2:$E$8</c:f>
              <c:numCache>
                <c:formatCode>0.0%</c:formatCode>
                <c:ptCount val="7"/>
                <c:pt idx="0">
                  <c:v>8.3333333333333329E-2</c:v>
                </c:pt>
                <c:pt idx="1">
                  <c:v>0</c:v>
                </c:pt>
                <c:pt idx="2">
                  <c:v>0</c:v>
                </c:pt>
                <c:pt idx="3">
                  <c:v>0.2</c:v>
                </c:pt>
                <c:pt idx="4">
                  <c:v>6.6666666666666666E-2</c:v>
                </c:pt>
                <c:pt idx="5">
                  <c:v>0</c:v>
                </c:pt>
                <c:pt idx="6">
                  <c:v>0</c:v>
                </c:pt>
              </c:numCache>
            </c:numRef>
          </c:val>
          <c:extLst xmlns:c16r2="http://schemas.microsoft.com/office/drawing/2015/06/chart">
            <c:ext xmlns:c16="http://schemas.microsoft.com/office/drawing/2014/chart" uri="{C3380CC4-5D6E-409C-BE32-E72D297353CC}">
              <c16:uniqueId val="{00000003-0A3A-493C-8209-018EE02EF23E}"/>
            </c:ext>
          </c:extLst>
        </c:ser>
        <c:ser>
          <c:idx val="4"/>
          <c:order val="4"/>
          <c:tx>
            <c:strRef>
              <c:f>Sheet1!$F$1</c:f>
              <c:strCache>
                <c:ptCount val="1"/>
                <c:pt idx="0">
                  <c:v>9至12个月</c:v>
                </c:pt>
              </c:strCache>
            </c:strRef>
          </c:tx>
          <c:spPr>
            <a:solidFill>
              <a:schemeClr val="accent5"/>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Sheet1!$F$2:$F$8</c:f>
              <c:numCache>
                <c:formatCode>0.0%</c:formatCode>
                <c:ptCount val="7"/>
                <c:pt idx="0">
                  <c:v>0</c:v>
                </c:pt>
                <c:pt idx="1">
                  <c:v>0</c:v>
                </c:pt>
                <c:pt idx="2">
                  <c:v>0.2</c:v>
                </c:pt>
                <c:pt idx="3">
                  <c:v>0.15</c:v>
                </c:pt>
                <c:pt idx="4">
                  <c:v>6.6666666666666666E-2</c:v>
                </c:pt>
                <c:pt idx="5">
                  <c:v>0</c:v>
                </c:pt>
                <c:pt idx="6">
                  <c:v>0</c:v>
                </c:pt>
              </c:numCache>
            </c:numRef>
          </c:val>
          <c:extLst xmlns:c16r2="http://schemas.microsoft.com/office/drawing/2015/06/chart">
            <c:ext xmlns:c16="http://schemas.microsoft.com/office/drawing/2014/chart" uri="{C3380CC4-5D6E-409C-BE32-E72D297353CC}">
              <c16:uniqueId val="{00000004-0A3A-493C-8209-018EE02EF23E}"/>
            </c:ext>
          </c:extLst>
        </c:ser>
        <c:ser>
          <c:idx val="5"/>
          <c:order val="5"/>
          <c:tx>
            <c:strRef>
              <c:f>Sheet1!$G$1</c:f>
              <c:strCache>
                <c:ptCount val="1"/>
                <c:pt idx="0">
                  <c:v>12个月以上</c:v>
                </c:pt>
              </c:strCache>
            </c:strRef>
          </c:tx>
          <c:spPr>
            <a:solidFill>
              <a:schemeClr val="accent6"/>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Sheet1!$G$2:$G$8</c:f>
              <c:numCache>
                <c:formatCode>0.0%</c:formatCode>
                <c:ptCount val="7"/>
                <c:pt idx="0">
                  <c:v>0.16666666666666666</c:v>
                </c:pt>
                <c:pt idx="1">
                  <c:v>0</c:v>
                </c:pt>
                <c:pt idx="2">
                  <c:v>0.4</c:v>
                </c:pt>
                <c:pt idx="3">
                  <c:v>0.05</c:v>
                </c:pt>
                <c:pt idx="4">
                  <c:v>0.13333333333333333</c:v>
                </c:pt>
                <c:pt idx="5">
                  <c:v>0</c:v>
                </c:pt>
                <c:pt idx="6">
                  <c:v>0</c:v>
                </c:pt>
              </c:numCache>
            </c:numRef>
          </c:val>
          <c:extLst xmlns:c16r2="http://schemas.microsoft.com/office/drawing/2015/06/chart">
            <c:ext xmlns:c16="http://schemas.microsoft.com/office/drawing/2014/chart" uri="{C3380CC4-5D6E-409C-BE32-E72D297353CC}">
              <c16:uniqueId val="{00000005-0A3A-493C-8209-018EE02EF23E}"/>
            </c:ext>
          </c:extLst>
        </c:ser>
        <c:dLbls>
          <c:showLegendKey val="0"/>
          <c:showVal val="0"/>
          <c:showCatName val="0"/>
          <c:showSerName val="0"/>
          <c:showPercent val="0"/>
          <c:showBubbleSize val="0"/>
        </c:dLbls>
        <c:gapWidth val="80"/>
        <c:overlap val="100"/>
        <c:axId val="-1182725088"/>
        <c:axId val="-1182708768"/>
      </c:barChart>
      <c:catAx>
        <c:axId val="-118272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8768"/>
        <c:crosses val="autoZero"/>
        <c:auto val="1"/>
        <c:lblAlgn val="ctr"/>
        <c:lblOffset val="100"/>
        <c:noMultiLvlLbl val="0"/>
      </c:catAx>
      <c:valAx>
        <c:axId val="-1182708768"/>
        <c:scaling>
          <c:orientation val="minMax"/>
        </c:scaling>
        <c:delete val="1"/>
        <c:axPos val="t"/>
        <c:numFmt formatCode="0%" sourceLinked="1"/>
        <c:majorTickMark val="none"/>
        <c:minorTickMark val="none"/>
        <c:tickLblPos val="nextTo"/>
        <c:crossAx val="-118272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legend>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制图页!$B$78:$B$84</c:f>
              <c:strCache>
                <c:ptCount val="7"/>
                <c:pt idx="0">
                  <c:v>下降20%以上</c:v>
                </c:pt>
                <c:pt idx="1">
                  <c:v>下降10%-20%</c:v>
                </c:pt>
                <c:pt idx="2">
                  <c:v>下降10%以内</c:v>
                </c:pt>
                <c:pt idx="3">
                  <c:v>持平</c:v>
                </c:pt>
                <c:pt idx="4">
                  <c:v>增长10%以内</c:v>
                </c:pt>
                <c:pt idx="5">
                  <c:v>增长10% - 20%</c:v>
                </c:pt>
                <c:pt idx="6">
                  <c:v>增长20%以上</c:v>
                </c:pt>
              </c:strCache>
            </c:strRef>
          </c:cat>
          <c:val>
            <c:numRef>
              <c:f>制图页!$C$78:$C$84</c:f>
              <c:numCache>
                <c:formatCode>0.0%</c:formatCode>
                <c:ptCount val="7"/>
                <c:pt idx="0">
                  <c:v>0.61538461538461542</c:v>
                </c:pt>
                <c:pt idx="1">
                  <c:v>0.2153846153846154</c:v>
                </c:pt>
                <c:pt idx="2">
                  <c:v>7.6923076923076927E-2</c:v>
                </c:pt>
                <c:pt idx="3">
                  <c:v>9.2307692307692313E-2</c:v>
                </c:pt>
                <c:pt idx="4">
                  <c:v>0</c:v>
                </c:pt>
                <c:pt idx="5">
                  <c:v>0</c:v>
                </c:pt>
                <c:pt idx="6">
                  <c:v>0</c:v>
                </c:pt>
              </c:numCache>
            </c:numRef>
          </c:val>
          <c:extLst xmlns:c16r2="http://schemas.microsoft.com/office/drawing/2015/06/chart">
            <c:ext xmlns:c16="http://schemas.microsoft.com/office/drawing/2014/chart" uri="{C3380CC4-5D6E-409C-BE32-E72D297353CC}">
              <c16:uniqueId val="{00000000-7061-4915-8361-B522592ACCA8}"/>
            </c:ext>
          </c:extLst>
        </c:ser>
        <c:dLbls>
          <c:dLblPos val="outEnd"/>
          <c:showLegendKey val="0"/>
          <c:showVal val="1"/>
          <c:showCatName val="0"/>
          <c:showSerName val="0"/>
          <c:showPercent val="0"/>
          <c:showBubbleSize val="0"/>
        </c:dLbls>
        <c:gapWidth val="182"/>
        <c:axId val="-1182722368"/>
        <c:axId val="-1182724544"/>
      </c:barChart>
      <c:catAx>
        <c:axId val="-118272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24544"/>
        <c:crosses val="autoZero"/>
        <c:auto val="1"/>
        <c:lblAlgn val="ctr"/>
        <c:lblOffset val="100"/>
        <c:noMultiLvlLbl val="0"/>
      </c:catAx>
      <c:valAx>
        <c:axId val="-1182724544"/>
        <c:scaling>
          <c:orientation val="minMax"/>
        </c:scaling>
        <c:delete val="1"/>
        <c:axPos val="b"/>
        <c:numFmt formatCode="0.0%" sourceLinked="1"/>
        <c:majorTickMark val="none"/>
        <c:minorTickMark val="none"/>
        <c:tickLblPos val="nextTo"/>
        <c:crossAx val="-1182722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下降20%以上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Sheet1!$B$2:$H$2</c:f>
              <c:numCache>
                <c:formatCode>0.0%</c:formatCode>
                <c:ptCount val="7"/>
                <c:pt idx="0">
                  <c:v>0.75</c:v>
                </c:pt>
                <c:pt idx="1">
                  <c:v>1</c:v>
                </c:pt>
                <c:pt idx="2">
                  <c:v>0.4</c:v>
                </c:pt>
                <c:pt idx="3">
                  <c:v>0.45</c:v>
                </c:pt>
                <c:pt idx="4">
                  <c:v>0.8</c:v>
                </c:pt>
                <c:pt idx="5">
                  <c:v>0.5</c:v>
                </c:pt>
                <c:pt idx="6">
                  <c:v>0.66700000000000004</c:v>
                </c:pt>
              </c:numCache>
            </c:numRef>
          </c:val>
          <c:extLst xmlns:c16r2="http://schemas.microsoft.com/office/drawing/2015/06/chart">
            <c:ext xmlns:c16="http://schemas.microsoft.com/office/drawing/2014/chart" uri="{C3380CC4-5D6E-409C-BE32-E72D297353CC}">
              <c16:uniqueId val="{00000000-B70A-4C28-99D5-ECCFF1CBC06D}"/>
            </c:ext>
          </c:extLst>
        </c:ser>
        <c:ser>
          <c:idx val="1"/>
          <c:order val="1"/>
          <c:tx>
            <c:strRef>
              <c:f>Sheet1!$A$3</c:f>
              <c:strCache>
                <c:ptCount val="1"/>
                <c:pt idx="0">
                  <c:v>下降10%-20%</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07EB-4AE1-B4A3-EAA5C96970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Sheet1!$B$3:$H$3</c:f>
              <c:numCache>
                <c:formatCode>0.0%</c:formatCode>
                <c:ptCount val="7"/>
                <c:pt idx="0">
                  <c:v>8.3000000000000004E-2</c:v>
                </c:pt>
                <c:pt idx="1">
                  <c:v>0</c:v>
                </c:pt>
                <c:pt idx="2">
                  <c:v>0.2</c:v>
                </c:pt>
                <c:pt idx="3">
                  <c:v>0.25</c:v>
                </c:pt>
                <c:pt idx="4">
                  <c:v>0.2</c:v>
                </c:pt>
                <c:pt idx="5">
                  <c:v>0.5</c:v>
                </c:pt>
                <c:pt idx="6">
                  <c:v>0.16700000000000001</c:v>
                </c:pt>
              </c:numCache>
            </c:numRef>
          </c:val>
          <c:extLst xmlns:c16r2="http://schemas.microsoft.com/office/drawing/2015/06/chart">
            <c:ext xmlns:c16="http://schemas.microsoft.com/office/drawing/2014/chart" uri="{C3380CC4-5D6E-409C-BE32-E72D297353CC}">
              <c16:uniqueId val="{00000001-B70A-4C28-99D5-ECCFF1CBC06D}"/>
            </c:ext>
          </c:extLst>
        </c:ser>
        <c:ser>
          <c:idx val="2"/>
          <c:order val="2"/>
          <c:tx>
            <c:strRef>
              <c:f>Sheet1!$A$4</c:f>
              <c:strCache>
                <c:ptCount val="1"/>
                <c:pt idx="0">
                  <c:v>下降10%以内</c:v>
                </c:pt>
              </c:strCache>
            </c:strRef>
          </c:tx>
          <c:spPr>
            <a:solidFill>
              <a:schemeClr val="accent3"/>
            </a:solidFill>
            <a:ln>
              <a:noFill/>
            </a:ln>
            <a:effectLst/>
          </c:spPr>
          <c:invertIfNegative val="0"/>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Sheet1!$B$4:$H$4</c:f>
              <c:numCache>
                <c:formatCode>0.0%</c:formatCode>
                <c:ptCount val="7"/>
                <c:pt idx="0">
                  <c:v>0.16700000000000001</c:v>
                </c:pt>
                <c:pt idx="1">
                  <c:v>0</c:v>
                </c:pt>
                <c:pt idx="2">
                  <c:v>0.4</c:v>
                </c:pt>
                <c:pt idx="3">
                  <c:v>0.05</c:v>
                </c:pt>
                <c:pt idx="4">
                  <c:v>0</c:v>
                </c:pt>
                <c:pt idx="5">
                  <c:v>0</c:v>
                </c:pt>
                <c:pt idx="6">
                  <c:v>0</c:v>
                </c:pt>
              </c:numCache>
            </c:numRef>
          </c:val>
          <c:extLst xmlns:c16r2="http://schemas.microsoft.com/office/drawing/2015/06/chart">
            <c:ext xmlns:c16="http://schemas.microsoft.com/office/drawing/2014/chart" uri="{C3380CC4-5D6E-409C-BE32-E72D297353CC}">
              <c16:uniqueId val="{00000002-B70A-4C28-99D5-ECCFF1CBC06D}"/>
            </c:ext>
          </c:extLst>
        </c:ser>
        <c:ser>
          <c:idx val="3"/>
          <c:order val="3"/>
          <c:tx>
            <c:strRef>
              <c:f>Sheet1!$A$5</c:f>
              <c:strCache>
                <c:ptCount val="1"/>
                <c:pt idx="0">
                  <c:v>持平</c:v>
                </c:pt>
              </c:strCache>
            </c:strRef>
          </c:tx>
          <c:spPr>
            <a:solidFill>
              <a:schemeClr val="accent4"/>
            </a:solidFill>
            <a:ln>
              <a:noFill/>
            </a:ln>
            <a:effectLst/>
          </c:spPr>
          <c:invertIfNegative val="0"/>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Sheet1!$B$5:$H$5</c:f>
              <c:numCache>
                <c:formatCode>0.0%</c:formatCode>
                <c:ptCount val="7"/>
                <c:pt idx="0">
                  <c:v>0</c:v>
                </c:pt>
                <c:pt idx="1">
                  <c:v>0</c:v>
                </c:pt>
                <c:pt idx="2">
                  <c:v>0</c:v>
                </c:pt>
                <c:pt idx="3">
                  <c:v>0.25</c:v>
                </c:pt>
                <c:pt idx="4">
                  <c:v>0</c:v>
                </c:pt>
                <c:pt idx="5">
                  <c:v>0</c:v>
                </c:pt>
                <c:pt idx="6">
                  <c:v>0.16700000000000001</c:v>
                </c:pt>
              </c:numCache>
            </c:numRef>
          </c:val>
          <c:extLst xmlns:c16r2="http://schemas.microsoft.com/office/drawing/2015/06/chart">
            <c:ext xmlns:c16="http://schemas.microsoft.com/office/drawing/2014/chart" uri="{C3380CC4-5D6E-409C-BE32-E72D297353CC}">
              <c16:uniqueId val="{00000003-B70A-4C28-99D5-ECCFF1CBC06D}"/>
            </c:ext>
          </c:extLst>
        </c:ser>
        <c:ser>
          <c:idx val="4"/>
          <c:order val="4"/>
          <c:tx>
            <c:strRef>
              <c:f>Sheet1!$A$6</c:f>
              <c:strCache>
                <c:ptCount val="1"/>
                <c:pt idx="0">
                  <c:v>增长10%以内</c:v>
                </c:pt>
              </c:strCache>
            </c:strRef>
          </c:tx>
          <c:spPr>
            <a:solidFill>
              <a:schemeClr val="accent5"/>
            </a:solidFill>
            <a:ln>
              <a:noFill/>
            </a:ln>
            <a:effectLst/>
          </c:spPr>
          <c:invertIfNegative val="0"/>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Sheet1!$B$6:$H$6</c:f>
              <c:numCache>
                <c:formatCode>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B70A-4C28-99D5-ECCFF1CBC06D}"/>
            </c:ext>
          </c:extLst>
        </c:ser>
        <c:ser>
          <c:idx val="5"/>
          <c:order val="5"/>
          <c:tx>
            <c:strRef>
              <c:f>Sheet1!$A$7</c:f>
              <c:strCache>
                <c:ptCount val="1"/>
                <c:pt idx="0">
                  <c:v>增长10%-20%</c:v>
                </c:pt>
              </c:strCache>
            </c:strRef>
          </c:tx>
          <c:spPr>
            <a:solidFill>
              <a:schemeClr val="accent6"/>
            </a:solidFill>
            <a:ln>
              <a:noFill/>
            </a:ln>
            <a:effectLst/>
          </c:spPr>
          <c:invertIfNegative val="0"/>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Sheet1!$B$7:$H$7</c:f>
              <c:numCache>
                <c:formatCode>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5-B70A-4C28-99D5-ECCFF1CBC06D}"/>
            </c:ext>
          </c:extLst>
        </c:ser>
        <c:ser>
          <c:idx val="6"/>
          <c:order val="6"/>
          <c:tx>
            <c:strRef>
              <c:f>Sheet1!$A$8</c:f>
              <c:strCache>
                <c:ptCount val="1"/>
                <c:pt idx="0">
                  <c:v>增长20%以上</c:v>
                </c:pt>
              </c:strCache>
            </c:strRef>
          </c:tx>
          <c:spPr>
            <a:solidFill>
              <a:schemeClr val="accent1">
                <a:lumMod val="60000"/>
              </a:schemeClr>
            </a:solidFill>
            <a:ln>
              <a:noFill/>
            </a:ln>
            <a:effectLst/>
          </c:spPr>
          <c:invertIfNegative val="0"/>
          <c:cat>
            <c:strRef>
              <c:f>Sheet1!$B$1:$H$1</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Sheet1!$B$8:$H$8</c:f>
              <c:numCache>
                <c:formatCode>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6-B70A-4C28-99D5-ECCFF1CBC06D}"/>
            </c:ext>
          </c:extLst>
        </c:ser>
        <c:dLbls>
          <c:showLegendKey val="0"/>
          <c:showVal val="0"/>
          <c:showCatName val="0"/>
          <c:showSerName val="0"/>
          <c:showPercent val="0"/>
          <c:showBubbleSize val="0"/>
        </c:dLbls>
        <c:gapWidth val="80"/>
        <c:overlap val="100"/>
        <c:axId val="-1182715296"/>
        <c:axId val="-1182706048"/>
      </c:barChart>
      <c:catAx>
        <c:axId val="-1182715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6048"/>
        <c:crosses val="autoZero"/>
        <c:auto val="1"/>
        <c:lblAlgn val="ctr"/>
        <c:lblOffset val="100"/>
        <c:noMultiLvlLbl val="0"/>
      </c:catAx>
      <c:valAx>
        <c:axId val="-1182706048"/>
        <c:scaling>
          <c:orientation val="minMax"/>
          <c:max val="1"/>
        </c:scaling>
        <c:delete val="1"/>
        <c:axPos val="t"/>
        <c:numFmt formatCode="0%" sourceLinked="1"/>
        <c:majorTickMark val="none"/>
        <c:minorTickMark val="none"/>
        <c:tickLblPos val="nextTo"/>
        <c:crossAx val="-11827152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legend>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制图页!$B$99:$B$103</c:f>
              <c:strCache>
                <c:ptCount val="5"/>
                <c:pt idx="0">
                  <c:v>30%以下</c:v>
                </c:pt>
                <c:pt idx="1">
                  <c:v>满足30% - 50%</c:v>
                </c:pt>
                <c:pt idx="2">
                  <c:v>满足50% - 70%</c:v>
                </c:pt>
                <c:pt idx="3">
                  <c:v>满足70% - 90%</c:v>
                </c:pt>
                <c:pt idx="4">
                  <c:v>满足90%以上</c:v>
                </c:pt>
              </c:strCache>
            </c:strRef>
          </c:cat>
          <c:val>
            <c:numRef>
              <c:f>制图页!$C$99:$C$103</c:f>
              <c:numCache>
                <c:formatCode>0.0%</c:formatCode>
                <c:ptCount val="5"/>
                <c:pt idx="0">
                  <c:v>0.46153846153846156</c:v>
                </c:pt>
                <c:pt idx="1">
                  <c:v>0.46153846153846156</c:v>
                </c:pt>
                <c:pt idx="2">
                  <c:v>6.1538461538461542E-2</c:v>
                </c:pt>
                <c:pt idx="3">
                  <c:v>1.5384615384615385E-2</c:v>
                </c:pt>
                <c:pt idx="4">
                  <c:v>0</c:v>
                </c:pt>
              </c:numCache>
            </c:numRef>
          </c:val>
          <c:extLst xmlns:c16r2="http://schemas.microsoft.com/office/drawing/2015/06/chart">
            <c:ext xmlns:c16="http://schemas.microsoft.com/office/drawing/2014/chart" uri="{C3380CC4-5D6E-409C-BE32-E72D297353CC}">
              <c16:uniqueId val="{00000000-5F35-47AC-891E-5237AB8EF556}"/>
            </c:ext>
          </c:extLst>
        </c:ser>
        <c:dLbls>
          <c:dLblPos val="outEnd"/>
          <c:showLegendKey val="0"/>
          <c:showVal val="1"/>
          <c:showCatName val="0"/>
          <c:showSerName val="0"/>
          <c:showPercent val="0"/>
          <c:showBubbleSize val="0"/>
        </c:dLbls>
        <c:gapWidth val="182"/>
        <c:axId val="-1182713664"/>
        <c:axId val="-1182713120"/>
      </c:barChart>
      <c:catAx>
        <c:axId val="-1182713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13120"/>
        <c:crosses val="autoZero"/>
        <c:auto val="1"/>
        <c:lblAlgn val="ctr"/>
        <c:lblOffset val="100"/>
        <c:noMultiLvlLbl val="0"/>
      </c:catAx>
      <c:valAx>
        <c:axId val="-1182713120"/>
        <c:scaling>
          <c:orientation val="minMax"/>
        </c:scaling>
        <c:delete val="1"/>
        <c:axPos val="b"/>
        <c:numFmt formatCode="0.0%" sourceLinked="1"/>
        <c:majorTickMark val="none"/>
        <c:minorTickMark val="none"/>
        <c:tickLblPos val="nextTo"/>
        <c:crossAx val="-1182713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30%以下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Sheet1!$B$2:$B$8</c:f>
              <c:numCache>
                <c:formatCode>0.0%</c:formatCode>
                <c:ptCount val="7"/>
                <c:pt idx="0">
                  <c:v>0.41666666666666669</c:v>
                </c:pt>
                <c:pt idx="1">
                  <c:v>1</c:v>
                </c:pt>
                <c:pt idx="2">
                  <c:v>0.2</c:v>
                </c:pt>
                <c:pt idx="3">
                  <c:v>0.45</c:v>
                </c:pt>
                <c:pt idx="4">
                  <c:v>0.4</c:v>
                </c:pt>
                <c:pt idx="5">
                  <c:v>0.83333333333333337</c:v>
                </c:pt>
                <c:pt idx="6">
                  <c:v>0.5</c:v>
                </c:pt>
              </c:numCache>
            </c:numRef>
          </c:val>
          <c:extLst xmlns:c16r2="http://schemas.microsoft.com/office/drawing/2015/06/chart">
            <c:ext xmlns:c16="http://schemas.microsoft.com/office/drawing/2014/chart" uri="{C3380CC4-5D6E-409C-BE32-E72D297353CC}">
              <c16:uniqueId val="{00000000-7ED8-4701-9DD1-4ACAAD0BB796}"/>
            </c:ext>
          </c:extLst>
        </c:ser>
        <c:ser>
          <c:idx val="1"/>
          <c:order val="1"/>
          <c:tx>
            <c:strRef>
              <c:f>Sheet1!$C$1</c:f>
              <c:strCache>
                <c:ptCount val="1"/>
                <c:pt idx="0">
                  <c:v>满足30% - 50%</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6CFD-4A92-ADFB-9129C1DA5A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Sheet1!$C$2:$C$8</c:f>
              <c:numCache>
                <c:formatCode>0.0%</c:formatCode>
                <c:ptCount val="7"/>
                <c:pt idx="0">
                  <c:v>0.58333333333333337</c:v>
                </c:pt>
                <c:pt idx="1">
                  <c:v>0</c:v>
                </c:pt>
                <c:pt idx="2">
                  <c:v>0.8</c:v>
                </c:pt>
                <c:pt idx="3">
                  <c:v>0.45</c:v>
                </c:pt>
                <c:pt idx="4">
                  <c:v>0.4</c:v>
                </c:pt>
                <c:pt idx="5">
                  <c:v>0.16666666666666666</c:v>
                </c:pt>
                <c:pt idx="6">
                  <c:v>0.5</c:v>
                </c:pt>
              </c:numCache>
            </c:numRef>
          </c:val>
          <c:extLst xmlns:c16r2="http://schemas.microsoft.com/office/drawing/2015/06/chart">
            <c:ext xmlns:c16="http://schemas.microsoft.com/office/drawing/2014/chart" uri="{C3380CC4-5D6E-409C-BE32-E72D297353CC}">
              <c16:uniqueId val="{00000001-7ED8-4701-9DD1-4ACAAD0BB796}"/>
            </c:ext>
          </c:extLst>
        </c:ser>
        <c:ser>
          <c:idx val="2"/>
          <c:order val="2"/>
          <c:tx>
            <c:strRef>
              <c:f>Sheet1!$D$1</c:f>
              <c:strCache>
                <c:ptCount val="1"/>
                <c:pt idx="0">
                  <c:v>满足50% - 70%</c:v>
                </c:pt>
              </c:strCache>
            </c:strRef>
          </c:tx>
          <c:spPr>
            <a:solidFill>
              <a:schemeClr val="accent3"/>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Sheet1!$D$2:$D$8</c:f>
              <c:numCache>
                <c:formatCode>0.0%</c:formatCode>
                <c:ptCount val="7"/>
                <c:pt idx="0">
                  <c:v>0</c:v>
                </c:pt>
                <c:pt idx="1">
                  <c:v>0</c:v>
                </c:pt>
                <c:pt idx="2">
                  <c:v>0</c:v>
                </c:pt>
                <c:pt idx="3">
                  <c:v>0.05</c:v>
                </c:pt>
                <c:pt idx="4">
                  <c:v>0.2</c:v>
                </c:pt>
                <c:pt idx="5">
                  <c:v>0</c:v>
                </c:pt>
                <c:pt idx="6">
                  <c:v>0</c:v>
                </c:pt>
              </c:numCache>
            </c:numRef>
          </c:val>
          <c:extLst xmlns:c16r2="http://schemas.microsoft.com/office/drawing/2015/06/chart">
            <c:ext xmlns:c16="http://schemas.microsoft.com/office/drawing/2014/chart" uri="{C3380CC4-5D6E-409C-BE32-E72D297353CC}">
              <c16:uniqueId val="{00000002-7ED8-4701-9DD1-4ACAAD0BB796}"/>
            </c:ext>
          </c:extLst>
        </c:ser>
        <c:ser>
          <c:idx val="3"/>
          <c:order val="3"/>
          <c:tx>
            <c:strRef>
              <c:f>Sheet1!$E$1</c:f>
              <c:strCache>
                <c:ptCount val="1"/>
                <c:pt idx="0">
                  <c:v>满足70% - 90%</c:v>
                </c:pt>
              </c:strCache>
            </c:strRef>
          </c:tx>
          <c:spPr>
            <a:solidFill>
              <a:schemeClr val="accent4"/>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Sheet1!$E$2:$E$8</c:f>
              <c:numCache>
                <c:formatCode>0.0%</c:formatCode>
                <c:ptCount val="7"/>
                <c:pt idx="0">
                  <c:v>0</c:v>
                </c:pt>
                <c:pt idx="1">
                  <c:v>0</c:v>
                </c:pt>
                <c:pt idx="2">
                  <c:v>0</c:v>
                </c:pt>
                <c:pt idx="3">
                  <c:v>0.05</c:v>
                </c:pt>
                <c:pt idx="4">
                  <c:v>0</c:v>
                </c:pt>
                <c:pt idx="5">
                  <c:v>0</c:v>
                </c:pt>
                <c:pt idx="6">
                  <c:v>0</c:v>
                </c:pt>
              </c:numCache>
            </c:numRef>
          </c:val>
          <c:extLst xmlns:c16r2="http://schemas.microsoft.com/office/drawing/2015/06/chart">
            <c:ext xmlns:c16="http://schemas.microsoft.com/office/drawing/2014/chart" uri="{C3380CC4-5D6E-409C-BE32-E72D297353CC}">
              <c16:uniqueId val="{00000003-7ED8-4701-9DD1-4ACAAD0BB796}"/>
            </c:ext>
          </c:extLst>
        </c:ser>
        <c:ser>
          <c:idx val="4"/>
          <c:order val="4"/>
          <c:tx>
            <c:strRef>
              <c:f>Sheet1!$F$1</c:f>
              <c:strCache>
                <c:ptCount val="1"/>
                <c:pt idx="0">
                  <c:v>满足90%以上</c:v>
                </c:pt>
              </c:strCache>
            </c:strRef>
          </c:tx>
          <c:spPr>
            <a:solidFill>
              <a:schemeClr val="accent5"/>
            </a:solidFill>
            <a:ln>
              <a:noFill/>
            </a:ln>
            <a:effectLst/>
          </c:spPr>
          <c:invertIfNegative val="0"/>
          <c:cat>
            <c:strRef>
              <c:f>Sheet1!$A$2:$A$8</c:f>
              <c:strCache>
                <c:ptCount val="7"/>
                <c:pt idx="0">
                  <c:v>建筑设计类</c:v>
                </c:pt>
                <c:pt idx="1">
                  <c:v>市政设计类</c:v>
                </c:pt>
                <c:pt idx="2">
                  <c:v>交通设计类</c:v>
                </c:pt>
                <c:pt idx="3">
                  <c:v>工业工程设计类</c:v>
                </c:pt>
                <c:pt idx="4">
                  <c:v>工程勘察类</c:v>
                </c:pt>
                <c:pt idx="5">
                  <c:v>专项设计类</c:v>
                </c:pt>
                <c:pt idx="6">
                  <c:v>其他</c:v>
                </c:pt>
              </c:strCache>
            </c:strRef>
          </c:cat>
          <c:val>
            <c:numRef>
              <c:f>Sheet1!$F$2:$F$8</c:f>
              <c:numCache>
                <c:formatCode>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7ED8-4701-9DD1-4ACAAD0BB796}"/>
            </c:ext>
          </c:extLst>
        </c:ser>
        <c:dLbls>
          <c:showLegendKey val="0"/>
          <c:showVal val="0"/>
          <c:showCatName val="0"/>
          <c:showSerName val="0"/>
          <c:showPercent val="0"/>
          <c:showBubbleSize val="0"/>
        </c:dLbls>
        <c:gapWidth val="80"/>
        <c:overlap val="100"/>
        <c:axId val="-1182703872"/>
        <c:axId val="-1182702240"/>
      </c:barChart>
      <c:catAx>
        <c:axId val="-1182703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crossAx val="-1182702240"/>
        <c:crosses val="autoZero"/>
        <c:auto val="1"/>
        <c:lblAlgn val="ctr"/>
        <c:lblOffset val="100"/>
        <c:noMultiLvlLbl val="0"/>
      </c:catAx>
      <c:valAx>
        <c:axId val="-1182702240"/>
        <c:scaling>
          <c:orientation val="minMax"/>
          <c:max val="1"/>
        </c:scaling>
        <c:delete val="1"/>
        <c:axPos val="t"/>
        <c:numFmt formatCode="0%" sourceLinked="1"/>
        <c:majorTickMark val="none"/>
        <c:minorTickMark val="none"/>
        <c:tickLblPos val="nextTo"/>
        <c:crossAx val="-118270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华文楷体" panose="02010600040101010101" pitchFamily="2" charset="-122"/>
              <a:ea typeface="华文楷体" panose="02010600040101010101" pitchFamily="2" charset="-122"/>
              <a:cs typeface="+mn-cs"/>
            </a:defRPr>
          </a:pPr>
          <a:endParaRPr lang="zh-CN"/>
        </a:p>
      </c:txPr>
    </c:legend>
    <c:plotVisOnly val="1"/>
    <c:dispBlanksAs val="gap"/>
    <c:showDLblsOverMax val="0"/>
  </c:chart>
  <c:spPr>
    <a:noFill/>
    <a:ln w="9525" cap="flat" cmpd="sng" algn="ctr">
      <a:noFill/>
      <a:round/>
    </a:ln>
    <a:effectLst/>
  </c:spPr>
  <c:txPr>
    <a:bodyPr/>
    <a:lstStyle/>
    <a:p>
      <a:pPr>
        <a:defRPr sz="900">
          <a:solidFill>
            <a:schemeClr val="tx1">
              <a:lumMod val="85000"/>
              <a:lumOff val="15000"/>
            </a:schemeClr>
          </a:solidFill>
          <a:latin typeface="华文楷体" panose="02010600040101010101" pitchFamily="2" charset="-122"/>
          <a:ea typeface="华文楷体" panose="02010600040101010101" pitchFamily="2"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A7CBA6-11E8-46A0-B266-3DC42DD1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1616</Words>
  <Characters>9214</Characters>
  <Application>Microsoft Office Word</Application>
  <DocSecurity>0</DocSecurity>
  <Lines>76</Lines>
  <Paragraphs>21</Paragraphs>
  <ScaleCrop>false</ScaleCrop>
  <Company/>
  <LinksUpToDate>false</LinksUpToDate>
  <CharactersWithSpaces>10809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tacter</dc:creator>
  <cp:keywords/>
  <dc:description/>
  <cp:lastModifiedBy>tacter-pc</cp:lastModifiedBy>
  <cp:revision>2</cp:revision>
  <cp:lastPrinted>2020-02-19T09:20:00Z</cp:lastPrinted>
  <dcterms:created xsi:type="dcterms:W3CDTF">2020-03-13T07:45:00Z</dcterms:created>
  <dcterms:modified xsi:type="dcterms:W3CDTF">2020-03-13T07:45:00Z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