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CB" w:rsidRPr="00634C5B" w:rsidRDefault="005D58CB" w:rsidP="005D58CB">
      <w:pPr>
        <w:widowControl/>
        <w:shd w:val="clear" w:color="auto" w:fill="FFFFFF"/>
        <w:spacing w:line="216" w:lineRule="atLeast"/>
        <w:jc w:val="left"/>
        <w:rPr>
          <w:rFonts w:ascii="Arial" w:hAnsi="Arial" w:cs="Arial"/>
          <w:color w:val="000000"/>
          <w:kern w:val="0"/>
          <w:sz w:val="14"/>
          <w:szCs w:val="14"/>
        </w:rPr>
      </w:pPr>
      <w:r w:rsidRPr="00634C5B">
        <w:rPr>
          <w:rFonts w:ascii="Arial" w:hAnsi="Arial" w:cs="Arial"/>
          <w:b/>
          <w:bCs/>
          <w:color w:val="000000"/>
          <w:kern w:val="0"/>
          <w:sz w:val="28"/>
          <w:szCs w:val="28"/>
        </w:rPr>
        <w:t>附表二</w:t>
      </w:r>
      <w:r w:rsidRPr="00634C5B">
        <w:rPr>
          <w:rFonts w:ascii="Arial" w:hAnsi="Arial" w:cs="Arial"/>
          <w:b/>
          <w:bCs/>
          <w:color w:val="000000"/>
          <w:kern w:val="0"/>
          <w:sz w:val="28"/>
          <w:szCs w:val="28"/>
        </w:rPr>
        <w:t>  </w:t>
      </w:r>
      <w:r w:rsidRPr="00634C5B">
        <w:rPr>
          <w:rFonts w:ascii="Arial" w:hAnsi="Arial" w:cs="Arial"/>
          <w:b/>
          <w:bCs/>
          <w:color w:val="000000"/>
          <w:kern w:val="0"/>
          <w:sz w:val="28"/>
        </w:rPr>
        <w:t> </w:t>
      </w:r>
      <w:r w:rsidRPr="00634C5B">
        <w:rPr>
          <w:rFonts w:ascii="Arial" w:hAnsi="Arial" w:cs="Arial"/>
          <w:b/>
          <w:bCs/>
          <w:color w:val="000000"/>
          <w:kern w:val="0"/>
          <w:sz w:val="28"/>
          <w:szCs w:val="28"/>
        </w:rPr>
        <w:t>建安费与设计基本服务成本对应信息表</w:t>
      </w:r>
    </w:p>
    <w:tbl>
      <w:tblPr>
        <w:tblW w:w="0" w:type="auto"/>
        <w:jc w:val="center"/>
        <w:tblInd w:w="70" w:type="dxa"/>
        <w:tblCellMar>
          <w:left w:w="0" w:type="dxa"/>
          <w:right w:w="0" w:type="dxa"/>
        </w:tblCellMar>
        <w:tblLook w:val="04A0"/>
      </w:tblPr>
      <w:tblGrid>
        <w:gridCol w:w="542"/>
        <w:gridCol w:w="1587"/>
        <w:gridCol w:w="1867"/>
        <w:gridCol w:w="1104"/>
        <w:gridCol w:w="1154"/>
        <w:gridCol w:w="1171"/>
        <w:gridCol w:w="1027"/>
      </w:tblGrid>
      <w:tr w:rsidR="005D58CB" w:rsidRPr="00634C5B" w:rsidTr="00980A1E">
        <w:trPr>
          <w:trHeight w:val="340"/>
          <w:jc w:val="center"/>
        </w:trPr>
        <w:tc>
          <w:tcPr>
            <w:tcW w:w="5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序号</w:t>
            </w:r>
          </w:p>
        </w:tc>
        <w:tc>
          <w:tcPr>
            <w:tcW w:w="1775" w:type="dxa"/>
            <w:vMerge w:val="restar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项目建安费额</w:t>
            </w:r>
          </w:p>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（万元）</w:t>
            </w:r>
          </w:p>
        </w:tc>
        <w:tc>
          <w:tcPr>
            <w:tcW w:w="2101" w:type="dxa"/>
            <w:vMerge w:val="restar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设计基本服务成本基数（万元）</w:t>
            </w:r>
          </w:p>
        </w:tc>
        <w:tc>
          <w:tcPr>
            <w:tcW w:w="5007" w:type="dxa"/>
            <w:gridSpan w:val="4"/>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工程复杂程度影响系数</w:t>
            </w:r>
          </w:p>
        </w:tc>
      </w:tr>
      <w:tr w:rsidR="005D58CB" w:rsidRPr="00634C5B" w:rsidTr="00980A1E">
        <w:trPr>
          <w:trHeight w:val="54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single" w:sz="8" w:space="0" w:color="auto"/>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single" w:sz="8" w:space="0" w:color="auto"/>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122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简单工程</w:t>
            </w:r>
          </w:p>
        </w:tc>
        <w:tc>
          <w:tcPr>
            <w:tcW w:w="132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一般工程</w:t>
            </w:r>
          </w:p>
        </w:tc>
        <w:tc>
          <w:tcPr>
            <w:tcW w:w="130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复杂工程</w:t>
            </w:r>
          </w:p>
        </w:tc>
        <w:tc>
          <w:tcPr>
            <w:tcW w:w="1157"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b/>
                <w:bCs/>
                <w:kern w:val="0"/>
                <w:sz w:val="24"/>
                <w:szCs w:val="24"/>
              </w:rPr>
              <w:t>特别复杂工程</w:t>
            </w:r>
          </w:p>
        </w:tc>
      </w:tr>
      <w:tr w:rsidR="005D58CB" w:rsidRPr="00634C5B" w:rsidTr="00980A1E">
        <w:trPr>
          <w:trHeight w:val="374"/>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kern w:val="0"/>
                <w:sz w:val="24"/>
                <w:szCs w:val="24"/>
              </w:rPr>
              <w:t>1</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kern w:val="0"/>
                <w:sz w:val="24"/>
                <w:szCs w:val="24"/>
              </w:rPr>
              <w:t>200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color w:val="000000"/>
                <w:kern w:val="0"/>
                <w:sz w:val="24"/>
                <w:szCs w:val="24"/>
              </w:rPr>
              <w:t>10.4</w:t>
            </w:r>
          </w:p>
        </w:tc>
        <w:tc>
          <w:tcPr>
            <w:tcW w:w="1221" w:type="dxa"/>
            <w:vMerge w:val="restar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kern w:val="0"/>
                <w:sz w:val="24"/>
                <w:szCs w:val="24"/>
              </w:rPr>
              <w:t>0.85</w:t>
            </w:r>
          </w:p>
        </w:tc>
        <w:tc>
          <w:tcPr>
            <w:tcW w:w="1321" w:type="dxa"/>
            <w:vMerge w:val="restar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kern w:val="0"/>
                <w:sz w:val="24"/>
                <w:szCs w:val="24"/>
              </w:rPr>
              <w:t>1.0</w:t>
            </w:r>
          </w:p>
        </w:tc>
        <w:tc>
          <w:tcPr>
            <w:tcW w:w="1308" w:type="dxa"/>
            <w:vMerge w:val="restar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kern w:val="0"/>
                <w:sz w:val="24"/>
                <w:szCs w:val="24"/>
              </w:rPr>
              <w:t>1.15</w:t>
            </w:r>
          </w:p>
        </w:tc>
        <w:tc>
          <w:tcPr>
            <w:tcW w:w="1157" w:type="dxa"/>
            <w:vMerge w:val="restar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216" w:lineRule="atLeast"/>
              <w:jc w:val="center"/>
              <w:rPr>
                <w:rFonts w:ascii="宋体" w:hAnsi="宋体" w:cs="宋体"/>
                <w:kern w:val="0"/>
                <w:sz w:val="24"/>
                <w:szCs w:val="24"/>
              </w:rPr>
            </w:pPr>
            <w:r w:rsidRPr="00634C5B">
              <w:rPr>
                <w:rFonts w:ascii="宋体" w:hAnsi="宋体" w:cs="宋体"/>
                <w:kern w:val="0"/>
                <w:sz w:val="24"/>
                <w:szCs w:val="24"/>
              </w:rPr>
              <w:t>1.3</w:t>
            </w: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2</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500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24.0</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3</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44.6</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4</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3000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119.4</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5</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5000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188.5</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6</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8000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287.0</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7</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335.3</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8</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20000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623.5</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9</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40000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1159.4</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10</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60000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1666.7</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11</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80000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2156.1</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12</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100000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2632.7</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13</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200000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4673.3</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14</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400000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8690.5</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15</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600000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12492.4</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r w:rsidR="005D58CB" w:rsidRPr="00634C5B" w:rsidTr="00980A1E">
        <w:trPr>
          <w:trHeight w:val="57"/>
          <w:jc w:val="center"/>
        </w:trPr>
        <w:tc>
          <w:tcPr>
            <w:tcW w:w="566"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16</w:t>
            </w:r>
          </w:p>
        </w:tc>
        <w:tc>
          <w:tcPr>
            <w:tcW w:w="1775"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kern w:val="0"/>
                <w:sz w:val="24"/>
                <w:szCs w:val="24"/>
              </w:rPr>
              <w:t>800000</w:t>
            </w:r>
          </w:p>
        </w:tc>
        <w:tc>
          <w:tcPr>
            <w:tcW w:w="2101"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5D58CB" w:rsidRPr="00634C5B" w:rsidRDefault="005D58CB" w:rsidP="00980A1E">
            <w:pPr>
              <w:widowControl/>
              <w:spacing w:line="57" w:lineRule="atLeast"/>
              <w:jc w:val="center"/>
              <w:rPr>
                <w:rFonts w:ascii="宋体" w:hAnsi="宋体" w:cs="宋体"/>
                <w:kern w:val="0"/>
                <w:sz w:val="24"/>
                <w:szCs w:val="24"/>
              </w:rPr>
            </w:pPr>
            <w:r w:rsidRPr="00634C5B">
              <w:rPr>
                <w:rFonts w:ascii="宋体" w:hAnsi="宋体" w:cs="宋体"/>
                <w:color w:val="000000"/>
                <w:kern w:val="0"/>
                <w:sz w:val="24"/>
                <w:szCs w:val="24"/>
              </w:rPr>
              <w:t>16161.0</w:t>
            </w: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c>
          <w:tcPr>
            <w:tcW w:w="0" w:type="auto"/>
            <w:vMerge/>
            <w:tcBorders>
              <w:top w:val="outset" w:sz="6" w:space="0" w:color="D4D0C8"/>
              <w:left w:val="outset" w:sz="6" w:space="0" w:color="D4D0C8"/>
              <w:bottom w:val="single" w:sz="8" w:space="0" w:color="auto"/>
              <w:right w:val="single" w:sz="8" w:space="0" w:color="auto"/>
            </w:tcBorders>
            <w:vAlign w:val="center"/>
            <w:hideMark/>
          </w:tcPr>
          <w:p w:rsidR="005D58CB" w:rsidRPr="00634C5B" w:rsidRDefault="005D58CB" w:rsidP="00980A1E">
            <w:pPr>
              <w:widowControl/>
              <w:jc w:val="left"/>
              <w:rPr>
                <w:rFonts w:ascii="宋体" w:hAnsi="宋体" w:cs="宋体"/>
                <w:kern w:val="0"/>
                <w:sz w:val="24"/>
                <w:szCs w:val="24"/>
              </w:rPr>
            </w:pPr>
          </w:p>
        </w:tc>
      </w:tr>
    </w:tbl>
    <w:p w:rsidR="005D58CB" w:rsidRPr="00634C5B" w:rsidRDefault="005D58CB" w:rsidP="005D58CB">
      <w:pPr>
        <w:widowControl/>
        <w:shd w:val="clear" w:color="auto" w:fill="FFFFFF"/>
        <w:spacing w:line="216" w:lineRule="atLeast"/>
        <w:ind w:hanging="360"/>
        <w:jc w:val="left"/>
        <w:rPr>
          <w:rFonts w:ascii="Arial" w:hAnsi="Arial" w:cs="Arial"/>
          <w:color w:val="000000"/>
          <w:kern w:val="0"/>
          <w:sz w:val="14"/>
          <w:szCs w:val="14"/>
        </w:rPr>
      </w:pPr>
      <w:r w:rsidRPr="00634C5B">
        <w:rPr>
          <w:rFonts w:ascii="Arial" w:hAnsi="Arial" w:cs="Arial"/>
          <w:color w:val="000000"/>
          <w:kern w:val="0"/>
          <w:sz w:val="24"/>
          <w:szCs w:val="24"/>
        </w:rPr>
        <w:t>注：</w:t>
      </w:r>
    </w:p>
    <w:p w:rsidR="005D58CB" w:rsidRPr="00634C5B" w:rsidRDefault="005D58CB" w:rsidP="005D58CB">
      <w:pPr>
        <w:widowControl/>
        <w:shd w:val="clear" w:color="auto" w:fill="FFFFFF"/>
        <w:spacing w:line="216" w:lineRule="atLeast"/>
        <w:ind w:firstLine="485"/>
        <w:jc w:val="left"/>
        <w:rPr>
          <w:rFonts w:ascii="Arial" w:hAnsi="Arial" w:cs="Arial"/>
          <w:color w:val="000000"/>
          <w:kern w:val="0"/>
          <w:sz w:val="14"/>
          <w:szCs w:val="14"/>
        </w:rPr>
      </w:pPr>
      <w:r w:rsidRPr="00634C5B">
        <w:rPr>
          <w:rFonts w:ascii="Arial" w:hAnsi="Arial" w:cs="Arial"/>
          <w:color w:val="000000"/>
          <w:kern w:val="0"/>
          <w:sz w:val="24"/>
          <w:szCs w:val="24"/>
        </w:rPr>
        <w:t>1</w:t>
      </w:r>
      <w:r w:rsidRPr="00634C5B">
        <w:rPr>
          <w:rFonts w:ascii="Arial" w:hAnsi="Arial" w:cs="Arial"/>
          <w:color w:val="000000"/>
          <w:kern w:val="0"/>
          <w:sz w:val="24"/>
          <w:szCs w:val="24"/>
        </w:rPr>
        <w:t>．</w:t>
      </w:r>
      <w:r w:rsidRPr="00634C5B">
        <w:rPr>
          <w:rFonts w:ascii="Arial" w:hAnsi="Arial" w:cs="Arial"/>
          <w:color w:val="000000"/>
          <w:kern w:val="0"/>
          <w:sz w:val="24"/>
          <w:szCs w:val="24"/>
        </w:rPr>
        <w:t>“</w:t>
      </w:r>
      <w:r w:rsidRPr="00634C5B">
        <w:rPr>
          <w:rFonts w:ascii="Arial" w:hAnsi="Arial" w:cs="Arial"/>
          <w:color w:val="000000"/>
          <w:kern w:val="0"/>
          <w:sz w:val="24"/>
          <w:szCs w:val="24"/>
        </w:rPr>
        <w:t>设计基本服务</w:t>
      </w:r>
      <w:r w:rsidRPr="00634C5B">
        <w:rPr>
          <w:rFonts w:ascii="Arial" w:hAnsi="Arial" w:cs="Arial"/>
          <w:color w:val="000000"/>
          <w:kern w:val="0"/>
          <w:sz w:val="24"/>
          <w:szCs w:val="24"/>
        </w:rPr>
        <w:t>”</w:t>
      </w:r>
      <w:r w:rsidRPr="00634C5B">
        <w:rPr>
          <w:rFonts w:ascii="Arial" w:hAnsi="Arial" w:cs="Arial"/>
          <w:color w:val="000000"/>
          <w:kern w:val="0"/>
          <w:sz w:val="24"/>
          <w:szCs w:val="24"/>
        </w:rPr>
        <w:t>指设计人根据发包人的委托，按国家法律、技术规范和设计深度要求向发包人提供编制方案设计、初步设计（含初步设计概算）、施工图设计（不含编制工程量清单及施工图预算）服务，提供相应设计技术交底、解决施工中的设计技术问题、参加竣工验收等服务。</w:t>
      </w:r>
    </w:p>
    <w:p w:rsidR="005D58CB" w:rsidRPr="00634C5B" w:rsidRDefault="005D58CB" w:rsidP="005D58CB">
      <w:pPr>
        <w:widowControl/>
        <w:shd w:val="clear" w:color="auto" w:fill="FFFFFF"/>
        <w:spacing w:line="216" w:lineRule="atLeast"/>
        <w:ind w:firstLine="485"/>
        <w:jc w:val="left"/>
        <w:rPr>
          <w:rFonts w:ascii="Arial" w:hAnsi="Arial" w:cs="Arial"/>
          <w:color w:val="000000"/>
          <w:kern w:val="0"/>
          <w:sz w:val="14"/>
          <w:szCs w:val="14"/>
        </w:rPr>
      </w:pPr>
      <w:r w:rsidRPr="00634C5B">
        <w:rPr>
          <w:rFonts w:ascii="Arial" w:hAnsi="Arial" w:cs="Arial"/>
          <w:color w:val="000000"/>
          <w:kern w:val="0"/>
          <w:sz w:val="24"/>
          <w:szCs w:val="24"/>
        </w:rPr>
        <w:t>2</w:t>
      </w:r>
      <w:r w:rsidRPr="00634C5B">
        <w:rPr>
          <w:rFonts w:ascii="Arial" w:hAnsi="Arial" w:cs="Arial"/>
          <w:color w:val="000000"/>
          <w:kern w:val="0"/>
          <w:sz w:val="24"/>
          <w:szCs w:val="24"/>
        </w:rPr>
        <w:t>．</w:t>
      </w:r>
      <w:r w:rsidRPr="00634C5B">
        <w:rPr>
          <w:rFonts w:ascii="Arial" w:hAnsi="Arial" w:cs="Arial"/>
          <w:color w:val="000000"/>
          <w:kern w:val="0"/>
          <w:sz w:val="24"/>
          <w:szCs w:val="24"/>
        </w:rPr>
        <w:t>“</w:t>
      </w:r>
      <w:r w:rsidRPr="00634C5B">
        <w:rPr>
          <w:rFonts w:ascii="Arial" w:hAnsi="Arial" w:cs="Arial"/>
          <w:color w:val="000000"/>
          <w:kern w:val="0"/>
          <w:sz w:val="24"/>
          <w:szCs w:val="24"/>
        </w:rPr>
        <w:t>设计基本服务成本基数</w:t>
      </w:r>
      <w:r w:rsidRPr="00634C5B">
        <w:rPr>
          <w:rFonts w:ascii="Arial" w:hAnsi="Arial" w:cs="Arial"/>
          <w:color w:val="000000"/>
          <w:kern w:val="0"/>
          <w:sz w:val="24"/>
          <w:szCs w:val="24"/>
        </w:rPr>
        <w:t>”</w:t>
      </w:r>
      <w:r w:rsidRPr="00634C5B">
        <w:rPr>
          <w:rFonts w:ascii="Arial" w:hAnsi="Arial" w:cs="Arial"/>
          <w:color w:val="000000"/>
          <w:kern w:val="0"/>
          <w:sz w:val="24"/>
          <w:szCs w:val="24"/>
        </w:rPr>
        <w:t>（含税金），是设计单位实际发生的成本（含税金）的采样分析数据。</w:t>
      </w:r>
    </w:p>
    <w:p w:rsidR="005D58CB" w:rsidRPr="00634C5B" w:rsidRDefault="005D58CB" w:rsidP="005D58CB">
      <w:pPr>
        <w:widowControl/>
        <w:shd w:val="clear" w:color="auto" w:fill="FFFFFF"/>
        <w:spacing w:line="216" w:lineRule="atLeast"/>
        <w:ind w:firstLine="485"/>
        <w:jc w:val="left"/>
        <w:rPr>
          <w:rFonts w:ascii="Arial" w:hAnsi="Arial" w:cs="Arial"/>
          <w:color w:val="000000"/>
          <w:kern w:val="0"/>
          <w:sz w:val="14"/>
          <w:szCs w:val="14"/>
        </w:rPr>
      </w:pPr>
      <w:r w:rsidRPr="00634C5B">
        <w:rPr>
          <w:rFonts w:ascii="Arial" w:hAnsi="Arial" w:cs="Arial"/>
          <w:color w:val="000000"/>
          <w:kern w:val="0"/>
          <w:sz w:val="24"/>
          <w:szCs w:val="24"/>
        </w:rPr>
        <w:t>3</w:t>
      </w:r>
      <w:r w:rsidRPr="00634C5B">
        <w:rPr>
          <w:rFonts w:ascii="Arial" w:hAnsi="Arial" w:cs="Arial"/>
          <w:color w:val="000000"/>
          <w:kern w:val="0"/>
          <w:sz w:val="24"/>
          <w:szCs w:val="24"/>
        </w:rPr>
        <w:t>．</w:t>
      </w:r>
      <w:r w:rsidRPr="00634C5B">
        <w:rPr>
          <w:rFonts w:ascii="Arial" w:hAnsi="Arial" w:cs="Arial"/>
          <w:color w:val="000000"/>
          <w:kern w:val="0"/>
          <w:sz w:val="24"/>
          <w:szCs w:val="24"/>
        </w:rPr>
        <w:t>“</w:t>
      </w:r>
      <w:r w:rsidRPr="00634C5B">
        <w:rPr>
          <w:rFonts w:ascii="Arial" w:hAnsi="Arial" w:cs="Arial"/>
          <w:color w:val="000000"/>
          <w:kern w:val="0"/>
          <w:sz w:val="24"/>
          <w:szCs w:val="24"/>
        </w:rPr>
        <w:t>工程复杂程度影响系数</w:t>
      </w:r>
      <w:r w:rsidRPr="00634C5B">
        <w:rPr>
          <w:rFonts w:ascii="Arial" w:hAnsi="Arial" w:cs="Arial"/>
          <w:color w:val="000000"/>
          <w:kern w:val="0"/>
          <w:sz w:val="24"/>
          <w:szCs w:val="24"/>
        </w:rPr>
        <w:t>”</w:t>
      </w:r>
      <w:r w:rsidRPr="00634C5B">
        <w:rPr>
          <w:rFonts w:ascii="Arial" w:hAnsi="Arial" w:cs="Arial"/>
          <w:color w:val="000000"/>
          <w:kern w:val="0"/>
          <w:sz w:val="24"/>
          <w:szCs w:val="24"/>
        </w:rPr>
        <w:t>是不同工程复杂程度对设计单位基本服务成本基数影响程度的调整系数的分析数据。</w:t>
      </w:r>
    </w:p>
    <w:p w:rsidR="005D58CB" w:rsidRPr="00634C5B" w:rsidRDefault="005D58CB" w:rsidP="005D58CB">
      <w:pPr>
        <w:widowControl/>
        <w:shd w:val="clear" w:color="auto" w:fill="FFFFFF"/>
        <w:spacing w:line="216" w:lineRule="atLeast"/>
        <w:ind w:firstLine="485"/>
        <w:jc w:val="left"/>
        <w:rPr>
          <w:rFonts w:ascii="Arial" w:hAnsi="Arial" w:cs="Arial"/>
          <w:color w:val="000000"/>
          <w:kern w:val="0"/>
          <w:sz w:val="14"/>
          <w:szCs w:val="14"/>
        </w:rPr>
      </w:pPr>
      <w:r w:rsidRPr="00634C5B">
        <w:rPr>
          <w:rFonts w:ascii="Arial" w:hAnsi="Arial" w:cs="Arial"/>
          <w:color w:val="000000"/>
          <w:kern w:val="0"/>
          <w:sz w:val="24"/>
          <w:szCs w:val="24"/>
        </w:rPr>
        <w:t>4</w:t>
      </w:r>
      <w:r w:rsidRPr="00634C5B">
        <w:rPr>
          <w:rFonts w:ascii="Arial" w:hAnsi="Arial" w:cs="Arial"/>
          <w:color w:val="000000"/>
          <w:kern w:val="0"/>
          <w:sz w:val="24"/>
          <w:szCs w:val="24"/>
        </w:rPr>
        <w:t>．</w:t>
      </w:r>
      <w:r w:rsidRPr="00634C5B">
        <w:rPr>
          <w:rFonts w:ascii="Arial" w:hAnsi="Arial" w:cs="Arial"/>
          <w:color w:val="000000"/>
          <w:kern w:val="0"/>
          <w:sz w:val="24"/>
          <w:szCs w:val="24"/>
        </w:rPr>
        <w:t>“</w:t>
      </w:r>
      <w:r w:rsidRPr="00634C5B">
        <w:rPr>
          <w:rFonts w:ascii="Arial" w:hAnsi="Arial" w:cs="Arial"/>
          <w:color w:val="000000"/>
          <w:kern w:val="0"/>
          <w:sz w:val="24"/>
          <w:szCs w:val="24"/>
        </w:rPr>
        <w:t>工程复杂程度</w:t>
      </w:r>
      <w:r w:rsidRPr="00634C5B">
        <w:rPr>
          <w:rFonts w:ascii="Arial" w:hAnsi="Arial" w:cs="Arial"/>
          <w:color w:val="000000"/>
          <w:kern w:val="0"/>
          <w:sz w:val="24"/>
          <w:szCs w:val="24"/>
        </w:rPr>
        <w:t>”</w:t>
      </w:r>
      <w:r w:rsidRPr="00634C5B">
        <w:rPr>
          <w:rFonts w:ascii="Arial" w:hAnsi="Arial" w:cs="Arial"/>
          <w:color w:val="000000"/>
          <w:kern w:val="0"/>
          <w:sz w:val="24"/>
          <w:szCs w:val="24"/>
        </w:rPr>
        <w:t>详见《全国建筑设计劳动（工日）定额》（</w:t>
      </w:r>
      <w:r w:rsidRPr="00634C5B">
        <w:rPr>
          <w:rFonts w:ascii="Arial" w:hAnsi="Arial" w:cs="Arial"/>
          <w:color w:val="000000"/>
          <w:kern w:val="0"/>
          <w:sz w:val="24"/>
          <w:szCs w:val="24"/>
        </w:rPr>
        <w:t>2014</w:t>
      </w:r>
      <w:r w:rsidRPr="00634C5B">
        <w:rPr>
          <w:rFonts w:ascii="Arial" w:hAnsi="Arial" w:cs="Arial"/>
          <w:color w:val="000000"/>
          <w:kern w:val="0"/>
          <w:sz w:val="24"/>
          <w:szCs w:val="24"/>
        </w:rPr>
        <w:t>年修编版）。</w:t>
      </w:r>
    </w:p>
    <w:p w:rsidR="00641A45" w:rsidRDefault="00641A45"/>
    <w:sectPr w:rsidR="00641A45" w:rsidSect="00641A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58CB"/>
    <w:rsid w:val="005D58CB"/>
    <w:rsid w:val="00641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8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2017-01-20T07:24:00Z</dcterms:created>
  <dcterms:modified xsi:type="dcterms:W3CDTF">2017-01-20T07:25:00Z</dcterms:modified>
</cp:coreProperties>
</file>